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E134" w14:textId="7E2C5D7F" w:rsidR="00B42181" w:rsidRPr="00B4388F" w:rsidRDefault="00B42181" w:rsidP="00B42181">
      <w:pPr>
        <w:pStyle w:val="Els-Title"/>
        <w:rPr>
          <w:color w:val="000000" w:themeColor="text1"/>
        </w:rPr>
      </w:pPr>
      <w:bookmarkStart w:id="0" w:name="_Hlk152190625"/>
      <w:r w:rsidRPr="00B24765">
        <w:rPr>
          <w:color w:val="000000" w:themeColor="text1"/>
        </w:rPr>
        <w:t xml:space="preserve">Development of an Energy Mix evaluation method </w:t>
      </w:r>
      <w:r w:rsidR="00B41A3E">
        <w:rPr>
          <w:color w:val="000000" w:themeColor="text1"/>
        </w:rPr>
        <w:t xml:space="preserve">of an infrastructure </w:t>
      </w:r>
      <w:r w:rsidRPr="00B24765">
        <w:rPr>
          <w:color w:val="000000" w:themeColor="text1"/>
        </w:rPr>
        <w:t>based on a multi-layered territorial approach</w:t>
      </w:r>
      <w:r w:rsidR="00B41A3E">
        <w:rPr>
          <w:color w:val="000000" w:themeColor="text1"/>
        </w:rPr>
        <w:t>.</w:t>
      </w:r>
    </w:p>
    <w:bookmarkEnd w:id="0"/>
    <w:p w14:paraId="0D7A755D" w14:textId="67C2C38D" w:rsidR="00B42181" w:rsidRPr="00330EED" w:rsidRDefault="00B42181" w:rsidP="00B42181">
      <w:pPr>
        <w:pStyle w:val="Els-Author"/>
        <w:rPr>
          <w:lang w:val="fr-FR"/>
        </w:rPr>
      </w:pPr>
      <w:r w:rsidRPr="00B24765">
        <w:rPr>
          <w:lang w:val="fr-FR"/>
        </w:rPr>
        <w:t>Julien Jean Victor</w:t>
      </w:r>
      <w:r w:rsidRPr="00F47173">
        <w:rPr>
          <w:vertAlign w:val="superscript"/>
          <w:lang w:val="fr-FR"/>
        </w:rPr>
        <w:t>a</w:t>
      </w:r>
      <w:r w:rsidRPr="00B24765">
        <w:rPr>
          <w:lang w:val="fr-FR"/>
        </w:rPr>
        <w:t xml:space="preserve">, </w:t>
      </w:r>
      <w:r w:rsidR="00E66041">
        <w:rPr>
          <w:lang w:val="fr-FR"/>
        </w:rPr>
        <w:t>Chloé Labauge</w:t>
      </w:r>
      <w:r w:rsidR="00E66041" w:rsidRPr="00E66041">
        <w:rPr>
          <w:vertAlign w:val="superscript"/>
          <w:lang w:val="fr-FR"/>
        </w:rPr>
        <w:t>a</w:t>
      </w:r>
      <w:r w:rsidR="00E66041">
        <w:rPr>
          <w:lang w:val="fr-FR"/>
        </w:rPr>
        <w:t xml:space="preserve">, </w:t>
      </w:r>
      <w:r w:rsidRPr="00B24765">
        <w:rPr>
          <w:lang w:val="fr-FR"/>
        </w:rPr>
        <w:t>Philippe Trubert</w:t>
      </w:r>
      <w:r w:rsidRPr="00F47173">
        <w:rPr>
          <w:vertAlign w:val="superscript"/>
          <w:lang w:val="fr-FR"/>
        </w:rPr>
        <w:t>b</w:t>
      </w:r>
      <w:r w:rsidRPr="00B24765">
        <w:rPr>
          <w:lang w:val="fr-FR"/>
        </w:rPr>
        <w:t>, Augustin Mpanda</w:t>
      </w:r>
      <w:r w:rsidRPr="00F47173">
        <w:rPr>
          <w:vertAlign w:val="superscript"/>
          <w:lang w:val="fr-FR"/>
        </w:rPr>
        <w:t>a</w:t>
      </w:r>
      <w:r w:rsidRPr="00B24765">
        <w:rPr>
          <w:lang w:val="fr-FR"/>
        </w:rPr>
        <w:t>, Laurent Fontanelli</w:t>
      </w:r>
      <w:r w:rsidRPr="00F47173">
        <w:rPr>
          <w:vertAlign w:val="superscript"/>
          <w:lang w:val="fr-FR"/>
        </w:rPr>
        <w:t>a</w:t>
      </w:r>
      <w:r w:rsidRPr="00B24765">
        <w:rPr>
          <w:lang w:val="fr-FR"/>
        </w:rPr>
        <w:t>, Sebastien Potel</w:t>
      </w:r>
      <w:r w:rsidRPr="00F47173">
        <w:rPr>
          <w:vertAlign w:val="superscript"/>
          <w:lang w:val="fr-FR"/>
        </w:rPr>
        <w:t>a</w:t>
      </w:r>
      <w:r w:rsidRPr="00B24765">
        <w:rPr>
          <w:lang w:val="fr-FR"/>
        </w:rPr>
        <w:t>, Arnaud Dujany</w:t>
      </w:r>
      <w:r w:rsidRPr="00B24765">
        <w:rPr>
          <w:vertAlign w:val="superscript"/>
          <w:lang w:val="fr-FR"/>
        </w:rPr>
        <w:t>a</w:t>
      </w:r>
    </w:p>
    <w:p w14:paraId="4D420BE1" w14:textId="77777777" w:rsidR="00B068D3" w:rsidRDefault="00B42181" w:rsidP="00B42181">
      <w:pPr>
        <w:pStyle w:val="Els-Affiliation"/>
        <w:rPr>
          <w:lang w:val="fr-FR"/>
        </w:rPr>
      </w:pPr>
      <w:r w:rsidRPr="00F47173">
        <w:rPr>
          <w:vertAlign w:val="superscript"/>
          <w:lang w:val="fr-FR"/>
        </w:rPr>
        <w:t>a</w:t>
      </w:r>
      <w:r w:rsidRPr="00F47173">
        <w:rPr>
          <w:lang w:val="fr-FR"/>
        </w:rPr>
        <w:t xml:space="preserve">U2R 7511, Basins-Reservoirs-Resources (B2R), Geosciences Department, UniLaSalle - University of Picardie Jules Verne, Beauvais, France </w:t>
      </w:r>
    </w:p>
    <w:p w14:paraId="2DF532CC" w14:textId="459A5880" w:rsidR="00B42181" w:rsidRPr="00F47173" w:rsidRDefault="00B42181" w:rsidP="00B42181">
      <w:pPr>
        <w:pStyle w:val="Els-Affiliation"/>
        <w:rPr>
          <w:lang w:val="fr-FR"/>
        </w:rPr>
      </w:pPr>
      <w:r w:rsidRPr="00F47173">
        <w:rPr>
          <w:vertAlign w:val="superscript"/>
          <w:lang w:val="fr-FR"/>
        </w:rPr>
        <w:t>b</w:t>
      </w:r>
      <w:r w:rsidR="00B068D3" w:rsidRPr="00F47173">
        <w:rPr>
          <w:lang w:val="fr-FR"/>
        </w:rPr>
        <w:t xml:space="preserve">Syndicat mixte de l'aéroport de </w:t>
      </w:r>
      <w:r w:rsidRPr="00F47173">
        <w:rPr>
          <w:lang w:val="fr-FR"/>
        </w:rPr>
        <w:t>Beauvais-Tillé (SMABT), 1 rue du Pont de Paris - 60000 Beauvais</w:t>
      </w:r>
    </w:p>
    <w:p w14:paraId="32AA96EC" w14:textId="57C5D140" w:rsidR="00B42181" w:rsidRPr="00F47173" w:rsidRDefault="00B42181" w:rsidP="00B42181">
      <w:pPr>
        <w:pStyle w:val="Els-Affiliation"/>
        <w:spacing w:after="120"/>
      </w:pPr>
      <w:r w:rsidRPr="00F47173">
        <w:t>arnaud.</w:t>
      </w:r>
      <w:r w:rsidR="00FE7E1F">
        <w:t>dujany</w:t>
      </w:r>
      <w:r w:rsidRPr="00F47173">
        <w:t>@unilasalle.fr</w:t>
      </w:r>
    </w:p>
    <w:p w14:paraId="556CBB44" w14:textId="77777777" w:rsidR="00B42181" w:rsidRPr="00F47173" w:rsidRDefault="00B42181" w:rsidP="00B42181">
      <w:pPr>
        <w:pStyle w:val="Els-Abstract"/>
        <w:rPr>
          <w:lang w:val="en-GB"/>
        </w:rPr>
      </w:pPr>
      <w:r w:rsidRPr="00F47173">
        <w:rPr>
          <w:lang w:val="en-GB"/>
        </w:rPr>
        <w:t>Abstract</w:t>
      </w:r>
    </w:p>
    <w:p w14:paraId="1B58BA7E" w14:textId="22E85D0B" w:rsidR="00B42181" w:rsidRDefault="00B42181" w:rsidP="008D2649">
      <w:pPr>
        <w:pStyle w:val="Els-body-text"/>
        <w:spacing w:after="120"/>
        <w:rPr>
          <w:lang w:val="en-GB"/>
        </w:rPr>
      </w:pPr>
      <w:r w:rsidRPr="7D83BA89">
        <w:rPr>
          <w:lang w:val="en-GB"/>
        </w:rPr>
        <w:t xml:space="preserve">Modern global climate awareness has led governing institutions worldwide to encourage the reduction of </w:t>
      </w:r>
      <w:r w:rsidRPr="00B068D3">
        <w:rPr>
          <w:lang w:val="en-GB"/>
        </w:rPr>
        <w:t>CO</w:t>
      </w:r>
      <w:r w:rsidRPr="00B068D3">
        <w:rPr>
          <w:vertAlign w:val="subscript"/>
          <w:lang w:val="en-GB"/>
        </w:rPr>
        <w:t>2</w:t>
      </w:r>
      <w:r w:rsidRPr="7D83BA89">
        <w:rPr>
          <w:lang w:val="en-GB"/>
        </w:rPr>
        <w:t xml:space="preserve"> emissions and the development of sustainable production methods, including that of energy</w:t>
      </w:r>
      <w:r w:rsidR="004A05A0" w:rsidRPr="7D83BA89">
        <w:rPr>
          <w:lang w:val="en-GB"/>
        </w:rPr>
        <w:t>.</w:t>
      </w:r>
      <w:r w:rsidR="004421BA" w:rsidRPr="7D83BA89">
        <w:rPr>
          <w:lang w:val="en-GB"/>
        </w:rPr>
        <w:t xml:space="preserve"> </w:t>
      </w:r>
      <w:r w:rsidRPr="7D83BA89">
        <w:rPr>
          <w:lang w:val="en-GB"/>
        </w:rPr>
        <w:t>Renewable energy sources are preferred to fossil fuels, and multiple studies have aimed to optimize energy mixes and include more renewable energy sources in them. This paper proposes and describes a methodology to evaluate the available energy mix potential of a territory</w:t>
      </w:r>
      <w:r w:rsidR="003D62E2">
        <w:rPr>
          <w:lang w:val="en-GB"/>
        </w:rPr>
        <w:t>, centred</w:t>
      </w:r>
      <w:r w:rsidRPr="7D83BA89">
        <w:rPr>
          <w:lang w:val="en-GB"/>
        </w:rPr>
        <w:t xml:space="preserve"> on an infrastructure. An application of this method to </w:t>
      </w:r>
      <w:r w:rsidR="00FE1890" w:rsidRPr="7D83BA89">
        <w:rPr>
          <w:lang w:val="en-GB"/>
        </w:rPr>
        <w:t>Oise</w:t>
      </w:r>
      <w:r w:rsidRPr="7D83BA89">
        <w:rPr>
          <w:lang w:val="en-GB"/>
        </w:rPr>
        <w:t xml:space="preserve"> </w:t>
      </w:r>
      <w:r w:rsidR="008566F6">
        <w:rPr>
          <w:lang w:val="en-GB"/>
        </w:rPr>
        <w:t>(</w:t>
      </w:r>
      <w:r w:rsidRPr="7D83BA89">
        <w:rPr>
          <w:lang w:val="en-GB"/>
        </w:rPr>
        <w:t>France</w:t>
      </w:r>
      <w:r w:rsidR="008566F6">
        <w:rPr>
          <w:lang w:val="en-GB"/>
        </w:rPr>
        <w:t>)</w:t>
      </w:r>
      <w:r w:rsidRPr="7D83BA89">
        <w:rPr>
          <w:lang w:val="en-GB"/>
        </w:rPr>
        <w:t xml:space="preserve"> and the </w:t>
      </w:r>
      <w:r w:rsidR="00943715">
        <w:rPr>
          <w:lang w:val="en-GB"/>
        </w:rPr>
        <w:t xml:space="preserve">Paris </w:t>
      </w:r>
      <w:r w:rsidRPr="7D83BA89">
        <w:rPr>
          <w:lang w:val="en-GB"/>
        </w:rPr>
        <w:t>Beauvais Airport</w:t>
      </w:r>
      <w:r w:rsidR="00B73CBF" w:rsidRPr="7D83BA89">
        <w:rPr>
          <w:lang w:val="en-GB"/>
        </w:rPr>
        <w:t xml:space="preserve"> is proposed</w:t>
      </w:r>
      <w:r w:rsidRPr="7D83BA89">
        <w:rPr>
          <w:lang w:val="en-GB"/>
        </w:rPr>
        <w:t>.</w:t>
      </w:r>
    </w:p>
    <w:p w14:paraId="144DE687" w14:textId="28602EC5" w:rsidR="008D2649" w:rsidRDefault="008D2649" w:rsidP="008D2649">
      <w:pPr>
        <w:pStyle w:val="Els-body-text"/>
        <w:spacing w:after="120"/>
        <w:rPr>
          <w:lang w:val="en-GB"/>
        </w:rPr>
      </w:pPr>
      <w:r>
        <w:rPr>
          <w:b/>
          <w:bCs/>
          <w:lang w:val="en-GB"/>
        </w:rPr>
        <w:t>Keywords</w:t>
      </w:r>
      <w:r>
        <w:rPr>
          <w:lang w:val="en-GB"/>
        </w:rPr>
        <w:t xml:space="preserve">: </w:t>
      </w:r>
      <w:r w:rsidR="00B42181" w:rsidRPr="00F47173">
        <w:rPr>
          <w:lang w:val="en-GB"/>
        </w:rPr>
        <w:t>Energy Mix, Evaluation, Territorial Approach, Carbon Footprint</w:t>
      </w:r>
    </w:p>
    <w:p w14:paraId="144DE689" w14:textId="773139A8" w:rsidR="008D2649" w:rsidRDefault="00B42181" w:rsidP="008D2649">
      <w:pPr>
        <w:pStyle w:val="Els-1storder-head"/>
      </w:pPr>
      <w:r>
        <w:t>Introduction</w:t>
      </w:r>
    </w:p>
    <w:p w14:paraId="35E64776" w14:textId="400DD3B9" w:rsidR="00CE7C56" w:rsidRDefault="00B42181" w:rsidP="008A2314">
      <w:pPr>
        <w:pStyle w:val="Els-body-text"/>
      </w:pPr>
      <w:r>
        <w:t>The worldwide growing realization of climate change has induced new policies regarding C</w:t>
      </w:r>
      <w:r w:rsidR="00CF2EB2">
        <w:t>O</w:t>
      </w:r>
      <w:r w:rsidR="00CF2EB2" w:rsidRPr="00CF2EB2">
        <w:rPr>
          <w:vertAlign w:val="subscript"/>
        </w:rPr>
        <w:t>2</w:t>
      </w:r>
      <w:r>
        <w:t xml:space="preserve"> emissions and environmental impacts, especially concerning energy consumption and generation. Alongside with the increase of energy prices, fossil fuels are being disregarded and renewable energy sources grew massively in current energy mixes</w:t>
      </w:r>
      <w:r w:rsidR="000F2970">
        <w:t xml:space="preserve"> </w:t>
      </w:r>
      <w:r w:rsidRPr="00CF2EB2">
        <w:fldChar w:fldCharType="begin"/>
      </w:r>
      <w:r>
        <w:instrText xml:space="preserve"> ADDIN ZOTERO_ITEM CSL_CITATION {"citationID":"9kaBO3c0","properties":{"formattedCitation":"({\\scaps \\uc0\\u216{}stergaard} and {\\scaps Sperling}, 2014)","plainCitation":"(Østergaard and Sperling, 2014)","noteIndex":0},"citationItems":[{"id":"JUyLOhlE/dp6enqmP","uris":["http://zotero.org/users/local/hWJsRBTZ/items/DDHPTDNU"],"itemData":{"id":111,"type":"article-journal","abstract":"Rising energy costs, anthropogenic climate change, and fossil fuel depletion calls for a concerted effort within energy planning to ensure a sustainable energy future. This article presents an overview of global energy trends focusing on energy costs, energy use and carbon dioxide emissions. Secondly, a review of contemporary work is presented focusing on national energy pathways with cases from Ireland, Denmark and Jordan, spatial issues within sustainable energyplanning and policy means to advance a sustainable energy future.","container-title":"International Journal of Sustainable Energy Planning and Management","DOI":"10.5278/IJSEPM.2014.1.1","language":"en","note":"dimensions: 1-5 Pages\npublisher: International Journal of Sustainable Energy Planning and Management","page":"1-5 Pages","source":"DOI.org (Datacite)","title":"Towards Sustainable Energy Planning and Management","author":[{"family":"Østergaard","given":"Poul Alberg"},{"family":"Sperling","given":"Karl"}],"issued":{"date-parts":[["2014",5,6]]}}}],"schema":"https://github.com/citation-style-language/schema/raw/master/csl-citation.json"} </w:instrText>
      </w:r>
      <w:r w:rsidRPr="00CF2EB2">
        <w:fldChar w:fldCharType="separate"/>
      </w:r>
      <w:r w:rsidR="004A05A0">
        <w:t>(</w:t>
      </w:r>
      <w:r w:rsidR="004A05A0" w:rsidRPr="00CF2EB2">
        <w:t>Østergaard</w:t>
      </w:r>
      <w:r w:rsidR="004A05A0">
        <w:t xml:space="preserve"> and </w:t>
      </w:r>
      <w:r w:rsidR="004A05A0" w:rsidRPr="00CF2EB2">
        <w:t>Sperling</w:t>
      </w:r>
      <w:r w:rsidR="004A05A0">
        <w:t>, 2014)</w:t>
      </w:r>
      <w:r w:rsidRPr="00CF2EB2">
        <w:fldChar w:fldCharType="end"/>
      </w:r>
      <w:r>
        <w:t xml:space="preserve">. Multiple studies have aimed to model and evaluate renewable energy sources, technologies, and facility locations, </w:t>
      </w:r>
      <w:r w:rsidR="00942174">
        <w:t>trying</w:t>
      </w:r>
      <w:r>
        <w:t xml:space="preserve"> to develop optimized energy mixes that include more renewable energies </w:t>
      </w:r>
      <w:r w:rsidRPr="00CF2EB2">
        <w:fldChar w:fldCharType="begin"/>
      </w:r>
      <w:r>
        <w:instrText xml:space="preserve"> ADDIN ZOTERO_ITEM CSL_CITATION {"citationID":"A0XoAt0U","properties":{"formattedCitation":"({\\scaps {\\scaps Ilbahar} {\\scaps0{}{\\i{}et al.}}}, 2019)","plainCitation":"(Ilbahar et al., 2019)","noteIndex":0},"citationItems":[{"id":"JUyLOhlE/gvWBoQrs","uris":["http://zotero.org/users/local/hWJsRBTZ/items/BK5CVXCN"],"itemData":{"id":97,"type":"article-journal","abstract":"The utilization of renewable energy sources has come into prominence especially over the last two decades. In the literature, various methods have been utilized for the evaluation of renewable energy sources. In particular, multi-attribute decision making (MADM) methods have been widely used throughout the renewable energy literature for several purposes such as evaluation of energy policies, selection of the most suitable renewable energy source for electricity generation, evaluation of renewable energy sources, identification of the optimal site for a renewable energy facility, and selection of the best one among energy alternatives. In the scope of this paper, the studies employing MADM methods in renewable energy applications have been taken into consideration. The main aim of the study is to determine the reasons and factors explaining why these methods have been employed. It can be concluded that Analytic Hierarchy Process (AHP), Analytic Network Process (ANP), ELimination Et Choix Traduisant la REalité (ELECTRE) and Technique for Order of Preference by Similarity to Ideal Solution (TOPSIS) have come into the forefront as the most widely employed methods in the literature. However, there are a few studies employing outranking methods, ELECTRE and Preference Ranking Organization Method for Enrichment Evaluations (PROMETHEE) for the purpose of evaluating renewable energy investments/projects. Furthermore, in the literature, there are limited papers considering utilization of renewable energy sources such as geothermal, hydro, and waste. Finally, this study indicates that renewable energy exploitation is a quite suitable topic to use MADM methods.","container-title":"Energy Strategy Reviews","DOI":"10.1016/j.esr.2019.04.014","ISSN":"2211-467X","journalAbbreviation":"Energy Strategy Reviews","page":"18-33","source":"ScienceDirect","title":"A state-of-the-art review on multi-attribute renewable energy decision making","volume":"25","author":[{"family":"Ilbahar","given":"Esra"},{"family":"Cebi","given":"Selcuk"},{"family":"Kahraman","given":"Cengiz"}],"issued":{"date-parts":[["2019",8,1]]}}}],"schema":"https://github.com/citation-style-language/schema/raw/master/csl-citation.json"} </w:instrText>
      </w:r>
      <w:r w:rsidRPr="00CF2EB2">
        <w:fldChar w:fldCharType="separate"/>
      </w:r>
      <w:r w:rsidR="004A05A0">
        <w:t>(</w:t>
      </w:r>
      <w:r w:rsidR="004A05A0" w:rsidRPr="00CF2EB2">
        <w:t>Ilbahar et al.</w:t>
      </w:r>
      <w:r w:rsidR="004A05A0">
        <w:t>, 2019)</w:t>
      </w:r>
      <w:r w:rsidRPr="00CF2EB2">
        <w:fldChar w:fldCharType="end"/>
      </w:r>
      <w:r>
        <w:t>. These studies have been conducted at international, national</w:t>
      </w:r>
      <w:r w:rsidR="00C46A1F">
        <w:t>,</w:t>
      </w:r>
      <w:r>
        <w:t xml:space="preserve"> and regional scales, each dealing with different challenges and levels of complexity.</w:t>
      </w:r>
      <w:r w:rsidR="0060379A">
        <w:t xml:space="preserve"> </w:t>
      </w:r>
      <w:r w:rsidR="004357D4">
        <w:t>As the IPCC</w:t>
      </w:r>
      <w:r w:rsidR="00E13A2E">
        <w:t xml:space="preserve"> estimates 75% of ecological and energetic transitions are territorial, </w:t>
      </w:r>
      <w:r w:rsidR="00053A5D">
        <w:t xml:space="preserve">it </w:t>
      </w:r>
      <w:r w:rsidR="00D6696D">
        <w:t>appears</w:t>
      </w:r>
      <w:r w:rsidR="00A4262E">
        <w:t xml:space="preserve"> suitable</w:t>
      </w:r>
      <w:r w:rsidR="007E02A4">
        <w:t xml:space="preserve"> to </w:t>
      </w:r>
      <w:r w:rsidR="004421BA">
        <w:t>assess</w:t>
      </w:r>
      <w:r w:rsidR="002519F6">
        <w:t xml:space="preserve"> </w:t>
      </w:r>
      <w:r w:rsidR="00E50A9F">
        <w:t xml:space="preserve">the </w:t>
      </w:r>
      <w:r w:rsidR="00A4262E">
        <w:t xml:space="preserve">environmental impact of </w:t>
      </w:r>
      <w:r w:rsidR="00E50A9F">
        <w:t>energ</w:t>
      </w:r>
      <w:r w:rsidR="00A4262E">
        <w:t>y mixes at that level</w:t>
      </w:r>
      <w:r w:rsidR="00D764F4">
        <w:t xml:space="preserve">, for example by using a carbon footprint evaluation. </w:t>
      </w:r>
      <w:r w:rsidR="00CE7C56">
        <w:t>In this domain, the most common methods are the input-output method and the Life-Cycle Assessment (LCA).</w:t>
      </w:r>
    </w:p>
    <w:p w14:paraId="16E2A9EB" w14:textId="6C570314" w:rsidR="006F349E" w:rsidRDefault="00D70939" w:rsidP="008D2649">
      <w:pPr>
        <w:pStyle w:val="Els-body-text"/>
      </w:pPr>
      <w:r>
        <w:t xml:space="preserve">The input–output method </w:t>
      </w:r>
      <w:r w:rsidR="005B2305">
        <w:t>works by</w:t>
      </w:r>
      <w:r>
        <w:t xml:space="preserve"> analy</w:t>
      </w:r>
      <w:r w:rsidR="005B2305">
        <w:t>zing</w:t>
      </w:r>
      <w:r w:rsidR="00B10F0E">
        <w:t xml:space="preserve"> </w:t>
      </w:r>
      <w:r>
        <w:t xml:space="preserve">each economic activity related to the sector of </w:t>
      </w:r>
      <w:r w:rsidR="008566F6">
        <w:t xml:space="preserve">a </w:t>
      </w:r>
      <w:r>
        <w:t xml:space="preserve">product, to be able to economically track </w:t>
      </w:r>
      <w:r w:rsidR="008566F6">
        <w:t>it</w:t>
      </w:r>
      <w:r>
        <w:t>. The L</w:t>
      </w:r>
      <w:r w:rsidR="000E165E">
        <w:t>CA</w:t>
      </w:r>
      <w:r>
        <w:t xml:space="preserve"> </w:t>
      </w:r>
      <w:r w:rsidR="004421BA">
        <w:t>analyzes</w:t>
      </w:r>
      <w:r>
        <w:t xml:space="preserve"> </w:t>
      </w:r>
      <w:r w:rsidR="00294527">
        <w:t>and agglomerat</w:t>
      </w:r>
      <w:r w:rsidR="004421BA">
        <w:t>es</w:t>
      </w:r>
      <w:r>
        <w:t xml:space="preserve"> the different carbon footprints of each element and process used to create </w:t>
      </w:r>
      <w:r w:rsidR="004421BA">
        <w:t>a</w:t>
      </w:r>
      <w:r>
        <w:t xml:space="preserve"> final product </w:t>
      </w:r>
      <w:r w:rsidRPr="00CF2EB2">
        <w:fldChar w:fldCharType="begin"/>
      </w:r>
      <w:r>
        <w:instrText xml:space="preserve"> ADDIN ZOTERO_ITEM CSL_CITATION {"citationID":"fs4jOEcq","properties":{"formattedCitation":"({\\scaps Wiedmann} and {\\scaps Minx},)","plainCitation":"(Wiedmann and Minx,)","noteIndex":0},"citationItems":[{"id":"JUyLOhlE/MkfGvcT0","uris":["http://zotero.org/users/local/hWJsRBTZ/items/JNWX3NXS"],"itemData":{"id":79,"type":"article-journal","abstract":"The term ‘carbon footprint’ has become tremendously popular over the last few years and is now in widespread use across the media – at least in the United Kingdom. With climate change high up on the political and corporate agenda, carbon footprint calculations are in strong demand. Numerous approaches have been proposed to provide estimates, ranging from basic online calculators to sophisticated life-cycleanalysis or input-output-based methods and tools. Despite its ubiquitous use however, there is an apparent lack of academic definitions of what exactly a ‘carbon footprint’ is meant to be. The scientific literature is surprisingly void of clarifications, despite the fact that countless studies in energy and ecological economics that could have claimed to measure a ‘carbon footprint’ have been published over decades.","language":"en","source":"Zotero","title":"A Definition of ‘Carbon Footprint’","author":[{"family":"Wiedmann","given":"Thomas"},{"family":"Minx","given":"Jan"}]}}],"schema":"https://github.com/citation-style-language/schema/raw/master/csl-citation.json"} </w:instrText>
      </w:r>
      <w:r w:rsidRPr="00CF2EB2">
        <w:fldChar w:fldCharType="separate"/>
      </w:r>
      <w:r w:rsidR="004A05A0">
        <w:t>(</w:t>
      </w:r>
      <w:r w:rsidR="004A05A0" w:rsidRPr="00CF2EB2">
        <w:t>Wiedmann</w:t>
      </w:r>
      <w:r w:rsidR="004A05A0">
        <w:t xml:space="preserve"> and </w:t>
      </w:r>
      <w:r w:rsidR="004A05A0" w:rsidRPr="00CF2EB2">
        <w:t>Minx</w:t>
      </w:r>
      <w:r w:rsidR="004A05A0">
        <w:t>,</w:t>
      </w:r>
      <w:r w:rsidR="00513178">
        <w:t xml:space="preserve"> </w:t>
      </w:r>
      <w:r w:rsidR="004A05A0">
        <w:t>200</w:t>
      </w:r>
      <w:r w:rsidR="00B41A3E">
        <w:t>8</w:t>
      </w:r>
      <w:r w:rsidR="004A05A0">
        <w:t>)</w:t>
      </w:r>
      <w:r w:rsidRPr="00CF2EB2">
        <w:fldChar w:fldCharType="end"/>
      </w:r>
      <w:r>
        <w:t>.</w:t>
      </w:r>
      <w:r w:rsidR="00031262">
        <w:t xml:space="preserve"> </w:t>
      </w:r>
      <w:r w:rsidR="0097443E">
        <w:t>T</w:t>
      </w:r>
      <w:r w:rsidR="00816AB4">
        <w:t>he</w:t>
      </w:r>
      <w:r w:rsidR="00FC6CBE">
        <w:t xml:space="preserve"> input-output method </w:t>
      </w:r>
      <w:r w:rsidR="004421BA">
        <w:t>is</w:t>
      </w:r>
      <w:r w:rsidR="00FC6CBE">
        <w:t xml:space="preserve"> u</w:t>
      </w:r>
      <w:r w:rsidR="00C20D06">
        <w:t xml:space="preserve">sed to </w:t>
      </w:r>
      <w:r w:rsidR="008B394E">
        <w:t xml:space="preserve">evaluate the carbon footprint of </w:t>
      </w:r>
      <w:r w:rsidR="00237E01">
        <w:t xml:space="preserve">processes </w:t>
      </w:r>
      <w:r w:rsidR="00FC6CBE">
        <w:t>in the</w:t>
      </w:r>
      <w:r w:rsidR="000D087B">
        <w:t xml:space="preserve"> LCA.</w:t>
      </w:r>
      <w:r w:rsidR="003461BB">
        <w:t xml:space="preserve"> </w:t>
      </w:r>
      <w:r w:rsidRPr="00CF2EB2">
        <w:fldChar w:fldCharType="begin"/>
      </w:r>
      <w:r>
        <w:instrText xml:space="preserve"> ADDIN ZOTERO_ITEM CSL_CITATION {"citationID":"BDB4bMq7","properties":{"formattedCitation":"({\\scaps {\\scaps Von Der Assen} {\\scaps0{}{\\i{}et al.}}}, 2014)","plainCitation":"(Von Der Assen et al., 2014)","noteIndex":0},"citationItems":[{"id":"JUyLOhlE/loGz0LxI","uris":["http://zotero.org/users/local/hWJsRBTZ/items/EWZ7HL7D"],"itemData":{"id":105,"type":"article-journal","container-title":"Chem. Soc. Rev.","DOI":"10.1039/C3CS60373C","ISSN":"0306-0012, 1460-4744","issue":"23","journalAbbreviation":"Chem. Soc. Rev.","language":"en","page":"7982-7994","source":"DOI.org (Crossref)","title":"Life cycle assessment of CO &lt;sub&gt;2&lt;/sub&gt; capture and utilization: a tutorial review","title-short":"Life cycle assessment of CO &lt;sub&gt;2&lt;/sub&gt; capture and utilization","volume":"43","author":[{"family":"Von Der Assen","given":"Niklas"},{"family":"Voll","given":"Philip"},{"family":"Peters","given":"Martina"},{"family":"Bardow","given":"André"}],"issued":{"date-parts":[["2014",1,20]]}}}],"schema":"https://github.com/citation-style-language/schema/raw/master/csl-citation.json"} </w:instrText>
      </w:r>
      <w:r w:rsidRPr="00CF2EB2">
        <w:fldChar w:fldCharType="separate"/>
      </w:r>
      <w:r w:rsidR="004A05A0">
        <w:t>(</w:t>
      </w:r>
      <w:r w:rsidR="004A05A0" w:rsidRPr="00CF2EB2">
        <w:t>Von Der Assen et al.</w:t>
      </w:r>
      <w:r w:rsidR="004A05A0">
        <w:t>, 2014)</w:t>
      </w:r>
      <w:r w:rsidRPr="00CF2EB2">
        <w:fldChar w:fldCharType="end"/>
      </w:r>
      <w:r w:rsidR="00F54001">
        <w:t>.</w:t>
      </w:r>
      <w:r w:rsidR="004421BA">
        <w:t xml:space="preserve"> </w:t>
      </w:r>
      <w:r w:rsidR="00517AE9">
        <w:t>Such</w:t>
      </w:r>
      <w:r w:rsidR="004E0AAD">
        <w:t xml:space="preserve"> methods </w:t>
      </w:r>
      <w:r w:rsidR="00AE0DD9">
        <w:t xml:space="preserve">are effective </w:t>
      </w:r>
      <w:r w:rsidR="00293F90">
        <w:t xml:space="preserve">to calculate the </w:t>
      </w:r>
      <w:r w:rsidR="001D57E8">
        <w:t>carbon footprint</w:t>
      </w:r>
      <w:r w:rsidR="00A2436C">
        <w:t xml:space="preserve"> of process</w:t>
      </w:r>
      <w:r w:rsidR="009F65E6">
        <w:t>es</w:t>
      </w:r>
      <w:r w:rsidR="00A2436C">
        <w:t xml:space="preserve"> or product</w:t>
      </w:r>
      <w:r w:rsidR="009F65E6">
        <w:t>s</w:t>
      </w:r>
      <w:r w:rsidR="00602FA4">
        <w:t xml:space="preserve">. </w:t>
      </w:r>
    </w:p>
    <w:p w14:paraId="37194F5F" w14:textId="109D5A0A" w:rsidR="00653316" w:rsidRDefault="00602FA4" w:rsidP="008D2649">
      <w:pPr>
        <w:pStyle w:val="Els-body-text"/>
      </w:pPr>
      <w:r>
        <w:t xml:space="preserve">This </w:t>
      </w:r>
      <w:r w:rsidR="00C76BAE">
        <w:t>study propose</w:t>
      </w:r>
      <w:r w:rsidR="00AB3C6A">
        <w:t>s</w:t>
      </w:r>
      <w:r w:rsidR="00C76BAE">
        <w:t xml:space="preserve"> a method to evaluate </w:t>
      </w:r>
      <w:r w:rsidR="00F05CEA">
        <w:t>the carbon footprint of a territory’s energy mix potential</w:t>
      </w:r>
      <w:r w:rsidR="008115F3">
        <w:t xml:space="preserve"> centered on an</w:t>
      </w:r>
      <w:r w:rsidR="009F65E6">
        <w:t xml:space="preserve"> infrastructure</w:t>
      </w:r>
      <w:r w:rsidR="00621990">
        <w:t xml:space="preserve">, to </w:t>
      </w:r>
      <w:r w:rsidR="00614887">
        <w:t>be used</w:t>
      </w:r>
      <w:r w:rsidR="00AB3C6A">
        <w:t xml:space="preserve"> as</w:t>
      </w:r>
      <w:r w:rsidR="00621990">
        <w:t xml:space="preserve"> a base </w:t>
      </w:r>
      <w:r w:rsidR="00AB3C6A">
        <w:t>for</w:t>
      </w:r>
      <w:r w:rsidR="00621990">
        <w:t xml:space="preserve"> </w:t>
      </w:r>
      <w:r w:rsidR="002577FD">
        <w:t>energy mix optimization.</w:t>
      </w:r>
      <w:r w:rsidR="00B42181" w:rsidRPr="00B42181">
        <w:t xml:space="preserve"> </w:t>
      </w:r>
    </w:p>
    <w:p w14:paraId="6864F249" w14:textId="46470CDC" w:rsidR="001650E5" w:rsidRPr="002D193D" w:rsidRDefault="00B42181" w:rsidP="00CD3DC2">
      <w:pPr>
        <w:pStyle w:val="Els-body-text"/>
      </w:pPr>
      <w:r w:rsidRPr="00B42181">
        <w:lastRenderedPageBreak/>
        <w:t>This is conditioned by a multi-scale inventory of different energy sources in the considered territory, followed by the determination of evaluation criteria,</w:t>
      </w:r>
      <w:r w:rsidR="00096AEF">
        <w:t xml:space="preserve"> complementary to an LCA evaluation.</w:t>
      </w:r>
      <w:r w:rsidRPr="00B42181">
        <w:t xml:space="preserve"> </w:t>
      </w:r>
      <w:r w:rsidR="00083231">
        <w:t>The</w:t>
      </w:r>
      <w:r w:rsidRPr="00B42181">
        <w:t xml:space="preserve"> source</w:t>
      </w:r>
      <w:r w:rsidR="00083231">
        <w:t>s are first evaluated</w:t>
      </w:r>
      <w:r w:rsidRPr="00B42181">
        <w:t xml:space="preserve"> individually</w:t>
      </w:r>
      <w:r w:rsidR="00083231">
        <w:t>, then</w:t>
      </w:r>
      <w:r w:rsidR="00CD3DC2">
        <w:t xml:space="preserve"> results are</w:t>
      </w:r>
      <w:r w:rsidRPr="00B42181">
        <w:t xml:space="preserve"> aggregated in a global evaluation for the territory’s energy mix, centered on a specific infrastructure.</w:t>
      </w:r>
    </w:p>
    <w:p w14:paraId="144DE699" w14:textId="76D66FA5" w:rsidR="008D2649" w:rsidRDefault="00B42181" w:rsidP="008D2649">
      <w:pPr>
        <w:pStyle w:val="Els-1storder-head"/>
      </w:pPr>
      <w:r>
        <w:t>Method</w:t>
      </w:r>
    </w:p>
    <w:p w14:paraId="44361F84" w14:textId="77777777" w:rsidR="00B42181" w:rsidRDefault="00B42181" w:rsidP="00B42181">
      <w:pPr>
        <w:pStyle w:val="Els-2ndorder-head"/>
      </w:pPr>
      <w:r>
        <w:t>Method for the inventory of available energy sources</w:t>
      </w:r>
    </w:p>
    <w:p w14:paraId="171DAE97" w14:textId="5568B666" w:rsidR="00B42181" w:rsidRDefault="00B42181" w:rsidP="008D2649">
      <w:pPr>
        <w:pStyle w:val="Els-body-text"/>
      </w:pPr>
      <w:r w:rsidRPr="00B42181">
        <w:t xml:space="preserve">The first step to evaluate the energy mix potential for a territory is to build an inventory of its energy resources. This inventory </w:t>
      </w:r>
      <w:r w:rsidR="004421BA">
        <w:t>is</w:t>
      </w:r>
      <w:r w:rsidRPr="00B42181">
        <w:t xml:space="preserve"> done with a multi-scale approach that enables to gather information on multiple energy sources and different energy categories.</w:t>
      </w:r>
    </w:p>
    <w:p w14:paraId="45863CFF" w14:textId="3181F771" w:rsidR="00B42181" w:rsidRDefault="00B42181" w:rsidP="00B42181">
      <w:pPr>
        <w:pStyle w:val="Els-3rdorder-head"/>
      </w:pPr>
      <w:r>
        <w:t>Territorial scale</w:t>
      </w:r>
    </w:p>
    <w:p w14:paraId="486AD550" w14:textId="5FC3CDB6" w:rsidR="00B42181" w:rsidRDefault="00B42181" w:rsidP="008D2649">
      <w:pPr>
        <w:pStyle w:val="Els-body-text"/>
        <w:rPr>
          <w:lang w:val="en-GB"/>
        </w:rPr>
      </w:pPr>
      <w:r w:rsidRPr="00B42181">
        <w:rPr>
          <w:lang w:val="en-GB"/>
        </w:rPr>
        <w:t xml:space="preserve">At a territorial scale, a first inventory is done </w:t>
      </w:r>
      <w:r w:rsidR="001A4EEA">
        <w:rPr>
          <w:lang w:val="en-GB"/>
        </w:rPr>
        <w:t>on</w:t>
      </w:r>
      <w:r w:rsidRPr="00B42181">
        <w:rPr>
          <w:lang w:val="en-GB"/>
        </w:rPr>
        <w:t xml:space="preserve"> </w:t>
      </w:r>
      <w:r w:rsidR="00CD1F34">
        <w:rPr>
          <w:lang w:val="en-GB"/>
        </w:rPr>
        <w:t>available</w:t>
      </w:r>
      <w:r w:rsidRPr="00B42181">
        <w:rPr>
          <w:lang w:val="en-GB"/>
        </w:rPr>
        <w:t xml:space="preserve"> gas and electricity resources. In addition to renewable energy sources, fossil fuels are also considered to cover all energy needs, since renewable sources can be insufficient to </w:t>
      </w:r>
      <w:r w:rsidR="00CB30D2">
        <w:rPr>
          <w:lang w:val="en-GB"/>
        </w:rPr>
        <w:t>cover</w:t>
      </w:r>
      <w:r w:rsidR="00CB30D2" w:rsidRPr="00B42181">
        <w:rPr>
          <w:lang w:val="en-GB"/>
        </w:rPr>
        <w:t xml:space="preserve"> </w:t>
      </w:r>
      <w:r w:rsidRPr="00B42181">
        <w:rPr>
          <w:lang w:val="en-GB"/>
        </w:rPr>
        <w:t xml:space="preserve">an energy mix. To be considered, the energy sources need to be available, which means they </w:t>
      </w:r>
      <w:r w:rsidR="00EA4C39" w:rsidRPr="00B42181">
        <w:rPr>
          <w:lang w:val="en-GB"/>
        </w:rPr>
        <w:t>must</w:t>
      </w:r>
      <w:r w:rsidRPr="00B42181">
        <w:rPr>
          <w:lang w:val="en-GB"/>
        </w:rPr>
        <w:t xml:space="preserve"> be connected to the gas or electricity distribution network and produce energy. Electricity sources </w:t>
      </w:r>
      <w:proofErr w:type="gramStart"/>
      <w:r w:rsidR="00CB30D2">
        <w:rPr>
          <w:lang w:val="en-GB"/>
        </w:rPr>
        <w:t>taken into account</w:t>
      </w:r>
      <w:proofErr w:type="gramEnd"/>
      <w:r w:rsidRPr="00B42181">
        <w:rPr>
          <w:lang w:val="en-GB"/>
        </w:rPr>
        <w:t xml:space="preserve"> include thermal </w:t>
      </w:r>
      <w:r w:rsidR="00CB30D2">
        <w:rPr>
          <w:lang w:val="en-GB"/>
        </w:rPr>
        <w:t>energy</w:t>
      </w:r>
      <w:r w:rsidR="00CB30D2" w:rsidRPr="00B42181">
        <w:rPr>
          <w:lang w:val="en-GB"/>
        </w:rPr>
        <w:t xml:space="preserve"> </w:t>
      </w:r>
      <w:r w:rsidRPr="00B42181">
        <w:rPr>
          <w:lang w:val="en-GB"/>
        </w:rPr>
        <w:t xml:space="preserve">(fossil fuel combustion), nuclear </w:t>
      </w:r>
      <w:r w:rsidR="00CB30D2">
        <w:rPr>
          <w:lang w:val="en-GB"/>
        </w:rPr>
        <w:t>energy</w:t>
      </w:r>
      <w:r w:rsidRPr="00B42181">
        <w:rPr>
          <w:lang w:val="en-GB"/>
        </w:rPr>
        <w:t xml:space="preserve">, onshore and offshore wind turbines, solar photovoltaic panels, hydroelectric </w:t>
      </w:r>
      <w:r w:rsidRPr="006B463A">
        <w:rPr>
          <w:lang w:val="en-GB"/>
        </w:rPr>
        <w:t>power</w:t>
      </w:r>
      <w:r w:rsidRPr="00B42181">
        <w:rPr>
          <w:lang w:val="en-GB"/>
        </w:rPr>
        <w:t xml:space="preserve">, geothermal </w:t>
      </w:r>
      <w:r w:rsidRPr="006B463A">
        <w:rPr>
          <w:lang w:val="en-GB"/>
        </w:rPr>
        <w:t>power</w:t>
      </w:r>
      <w:r w:rsidRPr="00B42181">
        <w:rPr>
          <w:lang w:val="en-GB"/>
        </w:rPr>
        <w:t xml:space="preserve"> (e</w:t>
      </w:r>
      <w:r w:rsidR="004421BA">
        <w:rPr>
          <w:lang w:val="en-GB"/>
        </w:rPr>
        <w:t>lectricity</w:t>
      </w:r>
      <w:r w:rsidRPr="00B42181">
        <w:rPr>
          <w:lang w:val="en-GB"/>
        </w:rPr>
        <w:t xml:space="preserve"> generation), bioenergy</w:t>
      </w:r>
      <w:r w:rsidR="004421BA">
        <w:rPr>
          <w:lang w:val="en-GB"/>
        </w:rPr>
        <w:t xml:space="preserve"> and</w:t>
      </w:r>
      <w:r w:rsidRPr="00B42181">
        <w:rPr>
          <w:lang w:val="en-GB"/>
        </w:rPr>
        <w:t xml:space="preserve"> marine power plants. In the case of gas sources, natural gas extraction stations and biogas </w:t>
      </w:r>
      <w:r w:rsidR="004421BA">
        <w:rPr>
          <w:lang w:val="en-GB"/>
        </w:rPr>
        <w:t>generation stations</w:t>
      </w:r>
      <w:r w:rsidRPr="00B42181">
        <w:rPr>
          <w:lang w:val="en-GB"/>
        </w:rPr>
        <w:t xml:space="preserve"> are considered. Other </w:t>
      </w:r>
      <w:r w:rsidR="001A4EEA">
        <w:rPr>
          <w:lang w:val="en-GB"/>
        </w:rPr>
        <w:t xml:space="preserve">sectors </w:t>
      </w:r>
      <w:r w:rsidRPr="00B42181">
        <w:rPr>
          <w:lang w:val="en-GB"/>
        </w:rPr>
        <w:t xml:space="preserve">that comply with the inventory requirements may also be included. Therefore, a state of play for electricity and gas resources can be created at a large scale, by using data from the government and/or from the network operators. The spatial perimeter proposed for the regional inventory is </w:t>
      </w:r>
      <w:r w:rsidR="005E0427">
        <w:rPr>
          <w:lang w:val="en-GB"/>
        </w:rPr>
        <w:t>based on</w:t>
      </w:r>
      <w:r w:rsidRPr="00B42181">
        <w:rPr>
          <w:lang w:val="en-GB"/>
        </w:rPr>
        <w:t xml:space="preserve"> an administrative division, to facilitate compliance with </w:t>
      </w:r>
      <w:r w:rsidRPr="0019722E">
        <w:rPr>
          <w:lang w:val="en-GB"/>
        </w:rPr>
        <w:t xml:space="preserve">governments </w:t>
      </w:r>
      <w:r w:rsidRPr="00B42181">
        <w:rPr>
          <w:lang w:val="en-GB"/>
        </w:rPr>
        <w:t xml:space="preserve">and avoid multiplicity of environmental policies. However, some </w:t>
      </w:r>
      <w:r w:rsidR="001A4EEA">
        <w:rPr>
          <w:lang w:val="en-GB"/>
        </w:rPr>
        <w:t xml:space="preserve">cases </w:t>
      </w:r>
      <w:r w:rsidRPr="00B42181">
        <w:rPr>
          <w:lang w:val="en-GB"/>
        </w:rPr>
        <w:t>might find a distance-based perimeter definition better suited and could chose to proceed differently.</w:t>
      </w:r>
    </w:p>
    <w:p w14:paraId="144DE69D" w14:textId="382F214A" w:rsidR="008D2649" w:rsidRDefault="00B42181" w:rsidP="00B42181">
      <w:pPr>
        <w:pStyle w:val="Els-3rdorder-head"/>
      </w:pPr>
      <w:r>
        <w:t>Infrastructure and city agglomeration scale</w:t>
      </w:r>
    </w:p>
    <w:p w14:paraId="0739265D" w14:textId="1A57B690" w:rsidR="00B42181" w:rsidRPr="008A79B4" w:rsidRDefault="00B42181" w:rsidP="00B42181">
      <w:pPr>
        <w:pStyle w:val="Els-body-text"/>
        <w:rPr>
          <w:lang w:val="en-GB"/>
        </w:rPr>
      </w:pPr>
      <w:r w:rsidRPr="008A79B4">
        <w:rPr>
          <w:lang w:val="en-GB"/>
        </w:rPr>
        <w:t xml:space="preserve">A second inventory can be done at </w:t>
      </w:r>
      <w:r w:rsidR="00CB30D2">
        <w:rPr>
          <w:lang w:val="en-GB"/>
        </w:rPr>
        <w:t>smaller</w:t>
      </w:r>
      <w:r w:rsidR="00CB30D2" w:rsidRPr="008A79B4">
        <w:rPr>
          <w:lang w:val="en-GB"/>
        </w:rPr>
        <w:t xml:space="preserve"> </w:t>
      </w:r>
      <w:r w:rsidRPr="008A79B4">
        <w:rPr>
          <w:lang w:val="en-GB"/>
        </w:rPr>
        <w:t xml:space="preserve">scale, namely the infrastructure </w:t>
      </w:r>
      <w:r w:rsidR="00502453" w:rsidRPr="008A79B4">
        <w:rPr>
          <w:lang w:val="en-GB"/>
        </w:rPr>
        <w:t xml:space="preserve">on which the </w:t>
      </w:r>
      <w:r w:rsidR="00FE5F93" w:rsidRPr="008A79B4">
        <w:rPr>
          <w:lang w:val="en-GB"/>
        </w:rPr>
        <w:t>evaluation is centered,</w:t>
      </w:r>
      <w:r w:rsidRPr="008A79B4">
        <w:rPr>
          <w:lang w:val="en-GB"/>
        </w:rPr>
        <w:t xml:space="preserve"> and the city agglomeration eventually surrounding it. The energy sources considered at this scale are heat networks that are already connected to the infrastructure. The</w:t>
      </w:r>
      <w:r w:rsidR="00B23CDE" w:rsidRPr="008A79B4">
        <w:rPr>
          <w:lang w:val="en-GB"/>
        </w:rPr>
        <w:t>y</w:t>
      </w:r>
      <w:r w:rsidRPr="008A79B4">
        <w:rPr>
          <w:lang w:val="en-GB"/>
        </w:rPr>
        <w:t xml:space="preserve"> can be based on multiple energy types: geothermal, </w:t>
      </w:r>
      <w:r w:rsidR="00F475C3" w:rsidRPr="008A79B4">
        <w:rPr>
          <w:lang w:val="en-GB"/>
        </w:rPr>
        <w:t>solar</w:t>
      </w:r>
      <w:r w:rsidRPr="008A79B4">
        <w:rPr>
          <w:lang w:val="en-GB"/>
        </w:rPr>
        <w:t>, organic matter combustion or fossil fuel</w:t>
      </w:r>
      <w:r w:rsidR="00F475C3" w:rsidRPr="008A79B4">
        <w:rPr>
          <w:lang w:val="en-GB"/>
        </w:rPr>
        <w:t>s</w:t>
      </w:r>
      <w:r w:rsidRPr="008A79B4">
        <w:rPr>
          <w:lang w:val="en-GB"/>
        </w:rPr>
        <w:t xml:space="preserve">. The </w:t>
      </w:r>
      <w:r w:rsidR="00F475C3" w:rsidRPr="008A79B4">
        <w:rPr>
          <w:lang w:val="en-GB"/>
        </w:rPr>
        <w:t>area of inventory is limited by the</w:t>
      </w:r>
      <w:r w:rsidRPr="008A79B4">
        <w:rPr>
          <w:lang w:val="en-GB"/>
        </w:rPr>
        <w:t xml:space="preserve"> uncertainties in heat transfer efficiency</w:t>
      </w:r>
      <w:r w:rsidR="00AA38AD" w:rsidRPr="008A79B4">
        <w:rPr>
          <w:lang w:val="en-GB"/>
        </w:rPr>
        <w:t xml:space="preserve"> </w:t>
      </w:r>
      <w:r w:rsidR="00AA38AD" w:rsidRPr="008A79B4">
        <w:rPr>
          <w:color w:val="2B579A"/>
          <w:shd w:val="clear" w:color="auto" w:fill="E6E6E6"/>
          <w:lang w:val="en-GB"/>
        </w:rPr>
        <w:fldChar w:fldCharType="begin"/>
      </w:r>
      <w:r w:rsidR="004A05A0">
        <w:rPr>
          <w:lang w:val="en-GB"/>
        </w:rPr>
        <w:instrText xml:space="preserve"> ADDIN ZOTERO_ITEM CSL_CITATION {"citationID":"Rc3wIO0G","properties":{"formattedCitation":"({\\scaps Kavvadias} and {\\scaps Quoilin}, 2018)","plainCitation":"(Kavvadias and Quoilin, 2018)","dontUpdate":true,"noteIndex":0},"citationItems":[{"id":"JUyLOhlE/nZpQwvFk","uris":["http://zotero.org/users/local/hWJsRBTZ/items/IUX79JIQ"],"itemData":{"id":115,"type":"article-journal","abstract":"Harvesting the waste heat from industrial processes or power plants is a very effective way to increase the efficiency of an energy system. Available usually as low-grade heat, it needs to be transferred to the points of consumption in order to be utilized. Feasible heat transmission distance is usually estimated by empiricism or by considering a limited number of parameters with the lack of a methodological tool to estimate this distance based on actual generic data. This work analyzes the particularities of long distance heat transmission by using a detailed techno-economic model for the estimation of heat transport costs including all relevant capital and operating expenditures. Sensitivity analysis is conducted to show the effect of transmission distance, supply temperatures and market prices, covering the most common technical and economic parameters found in literature. This model is also used to identify the maximum economically feasible transmission distance that meets a specified economic criterion and to derive a ‘rule of thumb’ equation.","container-title":"Applied Energy","DOI":"10.1016/j.apenergy.2018.02.080","ISSN":"0306-2619","journalAbbreviation":"Applied Energy","page":"452-465","source":"ScienceDirect","title":"Exploiting waste heat potential by long distance heat transmission: Design considerations and techno-economic assessment","title-short":"Exploiting waste heat potential by long distance heat transmission","volume":"216","author":[{"family":"Kavvadias","given":"Konstantinos C."},{"family":"Quoilin","given":"Sylvain"}],"issued":{"date-parts":[["2018",4,15]]}}}],"schema":"https://github.com/citation-style-language/schema/raw/master/csl-citation.json"} </w:instrText>
      </w:r>
      <w:r w:rsidR="00AA38AD" w:rsidRPr="008A79B4">
        <w:rPr>
          <w:color w:val="2B579A"/>
          <w:shd w:val="clear" w:color="auto" w:fill="E6E6E6"/>
          <w:lang w:val="en-GB"/>
        </w:rPr>
        <w:fldChar w:fldCharType="separate"/>
      </w:r>
      <w:r w:rsidR="00CF2EB2">
        <w:rPr>
          <w:lang w:val="en-GB"/>
        </w:rPr>
        <w:t>(</w:t>
      </w:r>
      <w:r w:rsidR="00BA446A" w:rsidRPr="008A79B4">
        <w:rPr>
          <w:lang w:val="en-GB"/>
        </w:rPr>
        <w:t>Kavvadias and Quoilin, 2018</w:t>
      </w:r>
      <w:r w:rsidR="00CF2EB2">
        <w:rPr>
          <w:lang w:val="en-GB"/>
        </w:rPr>
        <w:t>)</w:t>
      </w:r>
      <w:r w:rsidR="00AA38AD" w:rsidRPr="008A79B4">
        <w:rPr>
          <w:color w:val="2B579A"/>
          <w:shd w:val="clear" w:color="auto" w:fill="E6E6E6"/>
          <w:lang w:val="en-GB"/>
        </w:rPr>
        <w:fldChar w:fldCharType="end"/>
      </w:r>
      <w:r w:rsidRPr="008A79B4">
        <w:rPr>
          <w:lang w:val="en-GB"/>
        </w:rPr>
        <w:t>.</w:t>
      </w:r>
      <w:r w:rsidR="00FA652D" w:rsidRPr="008A79B4">
        <w:rPr>
          <w:lang w:val="en-GB"/>
        </w:rPr>
        <w:t xml:space="preserve"> </w:t>
      </w:r>
    </w:p>
    <w:p w14:paraId="2B98E35A" w14:textId="77777777" w:rsidR="00B42181" w:rsidRDefault="00B42181" w:rsidP="00B42181">
      <w:pPr>
        <w:pStyle w:val="Els-2ndorder-head"/>
      </w:pPr>
      <w:r w:rsidRPr="00583231">
        <w:t>Individual Environmental Evaluation of energy sources</w:t>
      </w:r>
      <w:r>
        <w:t xml:space="preserve"> by criteria development</w:t>
      </w:r>
    </w:p>
    <w:p w14:paraId="3A07B85E" w14:textId="2683C65B" w:rsidR="00B42181" w:rsidRDefault="00B42181" w:rsidP="008D2649">
      <w:pPr>
        <w:pStyle w:val="Els-body-text"/>
      </w:pPr>
      <w:r w:rsidRPr="00B42181">
        <w:t>Once the energy sources available in the</w:t>
      </w:r>
      <w:r w:rsidR="00E776A3">
        <w:t xml:space="preserve"> studied area</w:t>
      </w:r>
      <w:r w:rsidRPr="00B42181">
        <w:t xml:space="preserve"> have been listed, they can be evaluated according to specific criteria</w:t>
      </w:r>
      <w:r w:rsidR="0019722E">
        <w:t>. Their definition is highly dependent</w:t>
      </w:r>
      <w:r w:rsidR="00907CAE">
        <w:t xml:space="preserve"> o</w:t>
      </w:r>
      <w:r w:rsidR="0019722E">
        <w:t>f</w:t>
      </w:r>
      <w:r w:rsidRPr="00BE3B34">
        <w:t xml:space="preserve"> the availability</w:t>
      </w:r>
      <w:r w:rsidR="0019722E">
        <w:t xml:space="preserve"> of data</w:t>
      </w:r>
      <w:r w:rsidRPr="00BE3B34">
        <w:t xml:space="preserve">. </w:t>
      </w:r>
      <w:r w:rsidR="00CB30D2">
        <w:t>Depending</w:t>
      </w:r>
      <w:r w:rsidRPr="00BE3B34">
        <w:t xml:space="preserve"> on the</w:t>
      </w:r>
      <w:r w:rsidR="0019722E">
        <w:t xml:space="preserve"> facilities, </w:t>
      </w:r>
      <w:r w:rsidR="00EC10FA">
        <w:t xml:space="preserve">the </w:t>
      </w:r>
      <w:r w:rsidR="00CB30D2">
        <w:t xml:space="preserve">necessary </w:t>
      </w:r>
      <w:r w:rsidRPr="00BE3B34">
        <w:t xml:space="preserve">information is not </w:t>
      </w:r>
      <w:r w:rsidR="00CB30D2">
        <w:t xml:space="preserve">always </w:t>
      </w:r>
      <w:r w:rsidRPr="00BE3B34">
        <w:t>available</w:t>
      </w:r>
      <w:r w:rsidR="0019722E">
        <w:t>.</w:t>
      </w:r>
      <w:r w:rsidR="00F56AC3" w:rsidRPr="00BE3B34">
        <w:t xml:space="preserve"> </w:t>
      </w:r>
      <w:r w:rsidR="0019722E">
        <w:t>T</w:t>
      </w:r>
      <w:r w:rsidR="00BD5CA0" w:rsidRPr="00BE3B34">
        <w:t>his study</w:t>
      </w:r>
      <w:r w:rsidR="00F56AC3" w:rsidRPr="00BE3B34">
        <w:t xml:space="preserve"> rel</w:t>
      </w:r>
      <w:r w:rsidR="00BD5CA0" w:rsidRPr="00BE3B34">
        <w:t xml:space="preserve">ies </w:t>
      </w:r>
      <w:r w:rsidR="00472EE0" w:rsidRPr="00BE3B34">
        <w:t>on</w:t>
      </w:r>
      <w:r w:rsidR="00D836E1" w:rsidRPr="00BE3B34">
        <w:t xml:space="preserve"> information </w:t>
      </w:r>
      <w:r w:rsidR="003F6740">
        <w:t>from</w:t>
      </w:r>
      <w:r w:rsidR="00D836E1" w:rsidRPr="00BE3B34">
        <w:t xml:space="preserve"> public databases, such as</w:t>
      </w:r>
      <w:r w:rsidR="00077898" w:rsidRPr="00BE3B34">
        <w:t xml:space="preserve"> the ADEME</w:t>
      </w:r>
      <w:r w:rsidR="00D836E1" w:rsidRPr="00BE3B34">
        <w:t xml:space="preserve"> “Base Carbone” based</w:t>
      </w:r>
      <w:r w:rsidR="00D836E1">
        <w:t xml:space="preserve"> on an LCA analys</w:t>
      </w:r>
      <w:r w:rsidR="00BE3B34">
        <w:t>is</w:t>
      </w:r>
      <w:r w:rsidR="001A4EEA">
        <w:t xml:space="preserve"> to calculate three criteria that are then combined in a global indicator.</w:t>
      </w:r>
    </w:p>
    <w:p w14:paraId="53C38B35" w14:textId="532AC72E" w:rsidR="00B42181" w:rsidRDefault="00C352EF" w:rsidP="00B42181">
      <w:pPr>
        <w:pStyle w:val="Els-3rdorder-head"/>
      </w:pPr>
      <w:r>
        <w:t xml:space="preserve">Gross </w:t>
      </w:r>
      <w:r w:rsidR="00072850">
        <w:t xml:space="preserve">Carbon Footprint by energy </w:t>
      </w:r>
      <w:r w:rsidR="00502451">
        <w:t>sector</w:t>
      </w:r>
    </w:p>
    <w:p w14:paraId="23DDB352" w14:textId="4FBEEECC" w:rsidR="00473647" w:rsidRDefault="00B42181" w:rsidP="008D2649">
      <w:pPr>
        <w:pStyle w:val="Els-body-text"/>
      </w:pPr>
      <w:r>
        <w:t xml:space="preserve">The first criterion </w:t>
      </w:r>
      <w:r w:rsidR="001A4EEA">
        <w:t>accounts for the energy sector impact, as addressed by the Lifecycle Assessment</w:t>
      </w:r>
      <w:r>
        <w:t xml:space="preserve">. </w:t>
      </w:r>
      <w:r w:rsidR="003F311A" w:rsidRPr="00481AB4">
        <w:t xml:space="preserve">The LCA </w:t>
      </w:r>
      <w:r w:rsidR="001A4EEA">
        <w:t xml:space="preserve">focuses on the carbon footprint of </w:t>
      </w:r>
      <w:r w:rsidR="003F311A" w:rsidRPr="00481AB4">
        <w:t>production processe</w:t>
      </w:r>
      <w:r w:rsidR="001A4EEA">
        <w:t>s</w:t>
      </w:r>
      <w:r w:rsidR="003F311A" w:rsidRPr="00481AB4">
        <w:t xml:space="preserve">, from material extraction to marketing, transport of products, production, and packaging. This method also considers the potential of the product </w:t>
      </w:r>
      <w:r w:rsidR="00C60537">
        <w:t>to be</w:t>
      </w:r>
      <w:r w:rsidR="003F311A" w:rsidRPr="00481AB4">
        <w:t xml:space="preserve"> reused, recycled and how final waste may or may not be recycled.</w:t>
      </w:r>
      <w:r w:rsidR="00E022FD">
        <w:t xml:space="preserve"> </w:t>
      </w:r>
      <w:r w:rsidR="00CF2EB2">
        <w:t>(</w:t>
      </w:r>
      <w:r w:rsidR="00E022FD" w:rsidRPr="00CF2EB2">
        <w:fldChar w:fldCharType="begin"/>
      </w:r>
      <w:r w:rsidR="004A05A0">
        <w:instrText xml:space="preserve"> ADDIN ZOTERO_ITEM CSL_CITATION {"citationID":"zKrE2nXe","properties":{"formattedCitation":"({\\scaps {\\scaps Von Der Assen} {\\scaps0{}{\\i{}et al.}}}, 2014)","plainCitation":"(Von Der Assen et al., 2014)","dontUpdate":true,"noteIndex":0},"citationItems":[{"id":"JUyLOhlE/loGz0LxI","uris":["http://zotero.org/users/local/hWJsRBTZ/items/EWZ7HL7D"],"itemData":{"id":105,"type":"article-journal","container-title":"Chem. Soc. Rev.","DOI":"10.1039/C3CS60373C","ISSN":"0306-0012, 1460-4744","issue":"23","journalAbbreviation":"Chem. Soc. Rev.","language":"en","page":"7982-7994","source":"DOI.org (Crossref)","title":"Life cycle assessment of CO &lt;sub&gt;2&lt;/sub&gt; capture and utilization: a tutorial review","title-short":"Life cycle assessment of CO &lt;sub&gt;2&lt;/sub&gt; capture and utilization","volume":"43","author":[{"family":"Von Der Assen","given":"Niklas"},{"family":"Voll","given":"Philip"},{"family":"Peters","given":"Martina"},{"family":"Bardow","given":"André"}],"issued":{"date-parts":[["2014",1,20]]}}}],"schema":"https://github.com/citation-style-language/schema/raw/master/csl-citation.json"} </w:instrText>
      </w:r>
      <w:r w:rsidR="00E022FD" w:rsidRPr="00CF2EB2">
        <w:fldChar w:fldCharType="separate"/>
      </w:r>
      <w:r w:rsidR="00E022FD" w:rsidRPr="00CF2EB2">
        <w:t>Von Der Assen et al., 2014</w:t>
      </w:r>
      <w:r w:rsidR="00E022FD" w:rsidRPr="00CF2EB2">
        <w:fldChar w:fldCharType="end"/>
      </w:r>
      <w:r w:rsidR="00CF2EB2">
        <w:t>)</w:t>
      </w:r>
      <w:r w:rsidR="003F311A" w:rsidRPr="00CF2EB2">
        <w:t xml:space="preserve">. </w:t>
      </w:r>
      <w:r w:rsidR="003F311A" w:rsidRPr="00481AB4">
        <w:t xml:space="preserve">Although this method </w:t>
      </w:r>
      <w:r w:rsidR="003F311A" w:rsidRPr="00481AB4">
        <w:lastRenderedPageBreak/>
        <w:t xml:space="preserve">is </w:t>
      </w:r>
      <w:r w:rsidR="00C60537">
        <w:t xml:space="preserve">widely </w:t>
      </w:r>
      <w:r w:rsidR="003F311A" w:rsidRPr="00481AB4">
        <w:t>used to determine</w:t>
      </w:r>
      <w:r w:rsidR="00CB30D2">
        <w:t xml:space="preserve"> à product’s</w:t>
      </w:r>
      <w:r w:rsidR="003F311A" w:rsidRPr="00481AB4">
        <w:t xml:space="preserve"> carbon footprint, it </w:t>
      </w:r>
      <w:r w:rsidR="00CB30D2">
        <w:t>does have</w:t>
      </w:r>
      <w:r w:rsidR="003F311A" w:rsidRPr="00481AB4">
        <w:t xml:space="preserve"> limit</w:t>
      </w:r>
      <w:r w:rsidR="00CB30D2">
        <w:t>ation</w:t>
      </w:r>
      <w:r w:rsidR="003F311A" w:rsidRPr="00481AB4">
        <w:t xml:space="preserve">s. In fact, it is easy to double-count hydroelectric dams and electricity supply, as they are not considered </w:t>
      </w:r>
      <w:r w:rsidR="00C60537">
        <w:t xml:space="preserve">as </w:t>
      </w:r>
      <w:r w:rsidR="003F311A" w:rsidRPr="00481AB4">
        <w:t xml:space="preserve">dual function resources </w:t>
      </w:r>
      <w:r w:rsidR="00304C74">
        <w:t>in this method</w:t>
      </w:r>
      <w:r w:rsidR="003F311A" w:rsidRPr="00481AB4">
        <w:t xml:space="preserve"> </w:t>
      </w:r>
      <w:r w:rsidR="000958FD" w:rsidRPr="00CF2EB2">
        <w:fldChar w:fldCharType="begin"/>
      </w:r>
      <w:r w:rsidR="004A05A0">
        <w:instrText xml:space="preserve"> ADDIN ZOTERO_ITEM CSL_CITATION {"citationID":"flu4aPPN","properties":{"formattedCitation":"({\\scaps {\\scaps Evans} {\\scaps0{}{\\i{}et al.}}}, 2009)","plainCitation":"(Evans et al., 2009)","dontUpdate":true,"noteIndex":0},"citationItems":[{"id":"JUyLOhlE/sPTlxI3E","uris":["http://zotero.org/users/local/hWJsRBTZ/items/IZP7UKSH"],"itemData":{"id":89,"type":"article-journal","abstract":"The non-combustion based renewable electricity generation technologies were assessed against a range of sustainability indicators and using data obtained from the literature. The indicators used to assess each technology were price of generated electricity, greenhouse gas emissions during full life cycle of the technology, availability of renewable sources, efficiency of energy conversion, land requirements, water consumption and social impacts. The cost of electricity, greenhouse gas emissions and the efficiency of electricity generation were found to have a very wide range for each technology, mainly due to variations in technological options as well as geographical dependence of each renewable energy source. The social impacts were assessed qualitatively based on the major individual impacts discussed in literature. Renewable energy technologies were then ranked against each indicator assuming that indicators have equal importance for sustainable development. It was found that wind power is the most sustainable, followed by hydropower, photovoltaic and then geothermal. Wind power was identified with the lowest relative greenhouse gas emissions, the least water consumption demands and with the most favourable social impacts comparing to other technologies, but requires larger land and has high relative capital costs.","container-title":"Renewable and Sustainable Energy Reviews","DOI":"10.1016/j.rser.2008.03.008","ISSN":"1364-0321","issue":"5","journalAbbreviation":"Renewable and Sustainable Energy Reviews","page":"1082-1088","source":"ScienceDirect","title":"Assessment of sustainability indicators for renewable energy technologies","volume":"13","author":[{"family":"Evans","given":"Annette"},{"family":"Strezov","given":"Vladimir"},{"family":"Evans","given":"Tim J."}],"issued":{"date-parts":[["2009",6,1]]}}}],"schema":"https://github.com/citation-style-language/schema/raw/master/csl-citation.json"} </w:instrText>
      </w:r>
      <w:r w:rsidR="000958FD" w:rsidRPr="00CF2EB2">
        <w:fldChar w:fldCharType="separate"/>
      </w:r>
      <w:r w:rsidR="00CF2EB2" w:rsidRPr="00CF2EB2">
        <w:t>(</w:t>
      </w:r>
      <w:r w:rsidR="000958FD" w:rsidRPr="00CF2EB2">
        <w:t>Evans et al., 2009</w:t>
      </w:r>
      <w:r w:rsidR="00CF2EB2" w:rsidRPr="00CF2EB2">
        <w:t>)</w:t>
      </w:r>
      <w:r w:rsidR="000958FD" w:rsidRPr="00CF2EB2">
        <w:fldChar w:fldCharType="end"/>
      </w:r>
      <w:r w:rsidR="003F311A" w:rsidRPr="00481AB4">
        <w:t xml:space="preserve">. </w:t>
      </w:r>
      <w:r w:rsidR="00926ABE">
        <w:t>S</w:t>
      </w:r>
      <w:r w:rsidR="00D44B4D">
        <w:t>ome</w:t>
      </w:r>
      <w:r w:rsidR="003F311A" w:rsidRPr="00481AB4">
        <w:t xml:space="preserve"> </w:t>
      </w:r>
      <w:r w:rsidR="007363EA">
        <w:t>studies</w:t>
      </w:r>
      <w:r w:rsidR="003F311A" w:rsidRPr="00481AB4">
        <w:t xml:space="preserve"> recommend </w:t>
      </w:r>
      <w:r w:rsidR="002A785C">
        <w:t>adding</w:t>
      </w:r>
      <w:r w:rsidR="003F311A" w:rsidRPr="00481AB4">
        <w:t xml:space="preserve"> other criteria </w:t>
      </w:r>
      <w:r w:rsidR="00CB30D2">
        <w:t xml:space="preserve">to </w:t>
      </w:r>
      <w:r w:rsidR="00926ABE">
        <w:t xml:space="preserve">this </w:t>
      </w:r>
      <w:r w:rsidR="00935D84">
        <w:t>calculation,</w:t>
      </w:r>
      <w:r w:rsidR="00D44B4D">
        <w:t xml:space="preserve"> </w:t>
      </w:r>
      <w:r w:rsidR="00016CAC">
        <w:t xml:space="preserve">such as environmental and social </w:t>
      </w:r>
      <w:r w:rsidR="00943715">
        <w:t>criteria</w:t>
      </w:r>
      <w:r w:rsidR="00016CAC">
        <w:t xml:space="preserve">, </w:t>
      </w:r>
      <w:r w:rsidR="00943715">
        <w:t xml:space="preserve">which are </w:t>
      </w:r>
      <w:r w:rsidR="00D44B4D">
        <w:t>not</w:t>
      </w:r>
      <w:r w:rsidR="00F25677">
        <w:t xml:space="preserve"> </w:t>
      </w:r>
      <w:r w:rsidR="00E12D34">
        <w:t>always linked</w:t>
      </w:r>
      <w:r w:rsidR="00F25677">
        <w:t xml:space="preserve"> </w:t>
      </w:r>
      <w:r w:rsidR="00D44B4D">
        <w:t>with</w:t>
      </w:r>
      <w:r w:rsidR="00142F64">
        <w:t xml:space="preserve"> carb</w:t>
      </w:r>
      <w:r w:rsidR="00A60DEE">
        <w:t>on footprints</w:t>
      </w:r>
      <w:r w:rsidR="00BB41F4">
        <w:t xml:space="preserve"> </w:t>
      </w:r>
      <w:r w:rsidR="00BB41F4" w:rsidRPr="00CF2EB2">
        <w:fldChar w:fldCharType="begin"/>
      </w:r>
      <w:r w:rsidR="004A05A0">
        <w:instrText xml:space="preserve"> ADDIN ZOTERO_ITEM CSL_CITATION {"citationID":"UCN3yUWZ","properties":{"formattedCitation":"({\\scaps {\\scaps Turconi} {\\scaps0{}{\\i{}et al.}}}, 2013)","plainCitation":"(Turconi et al., 2013)","dontUpdate":true,"noteIndex":0},"citationItems":[{"id":"JUyLOhlE/x8piDqS6","uris":["http://zotero.org/users/local/hWJsRBTZ/items/6FHLNCAR"],"itemData":{"id":91,"type":"article-journal","abstract":"Electricity generation is a key contributor to global emissions of greenhouse gases (GHG), NOx and SO2 and their related environmental impact. A critical review of 167 case studies involving the life cycle assessment (LCA) of electricity generation based on hard coal, lignite, natural gas, oil, nuclear, biomass, hydroelectric, solar photovoltaic (PV) and wind was carried out to identify ranges of emission data for GHG, NOx and SO2 related to individual technologies. It was shown that GHG emissions could not be used as a single indicator to represent the environmental performance of a system or technology. Emission data were evaluated with respect to three life cycle phases (fuel provision, plant operation, and infrastructure). Direct emissions from plant operation represented the majority of the life cycle emissions for fossil fuel technologies, whereas fuel provision represented the largest contribution for biomass technologies (71% for GHG, 54% for NOx and 61% for SO2) and nuclear power (60% for GHG, 82% for NOx and 92% for SO2); infrastructures provided the highest impact for renewables. These data indicated that all three phases should be included for completeness and to avoid problem shifting. The most critical methodological aspects in relation to LCA studies were identified as follows: definition of the functional unit, the LCA method employed (e.g., IOA, PCA and hybrid), the emission allocation principle and/or system boundary expansion. The most important technological aspects were identified as follows: the energy recovery efficiency and the flue gas cleaning system for fossil fuel technologies; the electricity mix used during both the manufacturing and the construction phases for nuclear and renewable technologies; and the type, quality and origin of feedstock, as well as the amount and type of co-products, for biomass-based systems. This review demonstrates that the variability of existing LCA results for electricity generation can give rise to conflicting decisions regarding the environmental consequences of implementing new technologies.","container-title":"Renewable and Sustainable Energy Reviews","DOI":"10.1016/j.rser.2013.08.013","ISSN":"1364-0321","journalAbbreviation":"Renewable and Sustainable Energy Reviews","page":"555-565","source":"ScienceDirect","title":"Life cycle assessment (LCA) of electricity generation technologies: Overview, comparability and limitations","title-short":"Life cycle assessment (LCA) of electricity generation technologies","volume":"28","author":[{"family":"Turconi","given":"Roberto"},{"family":"Boldrin","given":"Alessio"},{"family":"Astrup","given":"Thomas"}],"issued":{"date-parts":[["2013",12,1]]}}}],"schema":"https://github.com/citation-style-language/schema/raw/master/csl-citation.json"} </w:instrText>
      </w:r>
      <w:r w:rsidR="00BB41F4" w:rsidRPr="00CF2EB2">
        <w:fldChar w:fldCharType="separate"/>
      </w:r>
      <w:r w:rsidR="00CF2EB2" w:rsidRPr="00CF2EB2">
        <w:t>(</w:t>
      </w:r>
      <w:r w:rsidR="00BB41F4" w:rsidRPr="00CF2EB2">
        <w:t>Turconi et al., 2013</w:t>
      </w:r>
      <w:r w:rsidR="00CF2EB2" w:rsidRPr="00CF2EB2">
        <w:t>)</w:t>
      </w:r>
      <w:r w:rsidR="00BB41F4" w:rsidRPr="00CF2EB2">
        <w:fldChar w:fldCharType="end"/>
      </w:r>
      <w:r w:rsidR="002B072F">
        <w:t>.</w:t>
      </w:r>
      <w:r w:rsidR="00C60537">
        <w:t xml:space="preserve"> In this study, t</w:t>
      </w:r>
      <w:r w:rsidR="00A44EA6">
        <w:t>he</w:t>
      </w:r>
      <w:r w:rsidR="000E23D1">
        <w:t xml:space="preserve"> carbon footprint</w:t>
      </w:r>
      <w:r w:rsidR="00C60537">
        <w:t xml:space="preserve"> imputed to the energy sector</w:t>
      </w:r>
      <w:r w:rsidR="000E23D1">
        <w:t xml:space="preserve"> </w:t>
      </w:r>
      <w:r w:rsidR="008D3A4F" w:rsidRPr="008D3A4F">
        <w:rPr>
          <w:i/>
          <w:iCs/>
        </w:rPr>
        <w:t>CF</w:t>
      </w:r>
      <w:r w:rsidR="008D3A4F" w:rsidRPr="008D3A4F">
        <w:rPr>
          <w:i/>
          <w:iCs/>
          <w:vertAlign w:val="subscript"/>
        </w:rPr>
        <w:t>E</w:t>
      </w:r>
      <w:r w:rsidR="003620CA">
        <w:rPr>
          <w:i/>
          <w:iCs/>
          <w:vertAlign w:val="subscript"/>
        </w:rPr>
        <w:t>S</w:t>
      </w:r>
      <w:r w:rsidR="000E23D1">
        <w:t xml:space="preserve"> </w:t>
      </w:r>
      <w:r w:rsidR="00A44EA6">
        <w:t xml:space="preserve">is </w:t>
      </w:r>
      <w:r w:rsidR="00EF0B9A">
        <w:t xml:space="preserve">expressed </w:t>
      </w:r>
      <w:r w:rsidR="00B04968">
        <w:t xml:space="preserve">in </w:t>
      </w:r>
      <w:r w:rsidR="00BF3BAF">
        <w:t>g</w:t>
      </w:r>
      <w:r w:rsidR="00B04968">
        <w:t>CO</w:t>
      </w:r>
      <w:r w:rsidR="00B04968" w:rsidRPr="00225C37">
        <w:rPr>
          <w:vertAlign w:val="subscript"/>
        </w:rPr>
        <w:t>2</w:t>
      </w:r>
      <w:r w:rsidR="00B04968">
        <w:t>eq/</w:t>
      </w:r>
      <w:r w:rsidR="00225C37">
        <w:t xml:space="preserve">y </w:t>
      </w:r>
      <w:r w:rsidR="00C60537">
        <w:t>and</w:t>
      </w:r>
      <w:r w:rsidR="00A44EA6">
        <w:t xml:space="preserve"> </w:t>
      </w:r>
      <w:r w:rsidR="000E23D1">
        <w:t>calculated</w:t>
      </w:r>
      <w:r w:rsidR="001D28F3">
        <w:t xml:space="preserve"> </w:t>
      </w:r>
      <w:r w:rsidR="00A11A35">
        <w:t xml:space="preserve">as </w:t>
      </w:r>
      <w:r w:rsidR="00A44EA6">
        <w:t>shown in Eq. (1)</w:t>
      </w:r>
      <w:r w:rsidR="00C60537">
        <w:t>.</w:t>
      </w:r>
    </w:p>
    <w:tbl>
      <w:tblPr>
        <w:tblW w:w="7077" w:type="dxa"/>
        <w:tblLook w:val="04A0" w:firstRow="1" w:lastRow="0" w:firstColumn="1" w:lastColumn="0" w:noHBand="0" w:noVBand="1"/>
      </w:tblPr>
      <w:tblGrid>
        <w:gridCol w:w="3681"/>
        <w:gridCol w:w="3396"/>
      </w:tblGrid>
      <w:tr w:rsidR="00A44EA6" w:rsidRPr="00A94774" w14:paraId="24EE289B" w14:textId="77777777" w:rsidTr="00927960">
        <w:trPr>
          <w:trHeight w:val="659"/>
        </w:trPr>
        <w:tc>
          <w:tcPr>
            <w:tcW w:w="3681" w:type="dxa"/>
            <w:shd w:val="clear" w:color="auto" w:fill="auto"/>
            <w:vAlign w:val="center"/>
          </w:tcPr>
          <w:p w14:paraId="25F057E7" w14:textId="79E74C0D" w:rsidR="00A44EA6" w:rsidRPr="00500D45" w:rsidRDefault="00000000" w:rsidP="00500D45">
            <w:pPr>
              <w:pStyle w:val="Els-body-text"/>
              <w:spacing w:before="120" w:after="120" w:line="264" w:lineRule="auto"/>
              <w:jc w:val="left"/>
              <w:rPr>
                <w:lang w:val="en-GB"/>
              </w:rPr>
            </w:pPr>
            <m:oMathPara>
              <m:oMathParaPr>
                <m:jc m:val="left"/>
              </m:oMathParaPr>
              <m:oMath>
                <m:sSub>
                  <m:sSubPr>
                    <m:ctrlPr>
                      <w:rPr>
                        <w:rFonts w:ascii="Cambria Math" w:hAnsi="Cambria Math"/>
                        <w:i/>
                        <w:sz w:val="22"/>
                        <w:szCs w:val="22"/>
                      </w:rPr>
                    </m:ctrlPr>
                  </m:sSubPr>
                  <m:e>
                    <m:r>
                      <w:rPr>
                        <w:rFonts w:ascii="Cambria Math" w:hAnsi="Cambria Math"/>
                        <w:sz w:val="22"/>
                        <w:szCs w:val="22"/>
                      </w:rPr>
                      <m:t>CF</m:t>
                    </m:r>
                  </m:e>
                  <m:sub>
                    <m:r>
                      <w:rPr>
                        <w:rFonts w:ascii="Cambria Math" w:hAnsi="Cambria Math"/>
                        <w:sz w:val="22"/>
                        <w:szCs w:val="22"/>
                      </w:rPr>
                      <m:t>ES</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ES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y</m:t>
                    </m:r>
                  </m:sub>
                </m:sSub>
              </m:oMath>
            </m:oMathPara>
          </w:p>
        </w:tc>
        <w:tc>
          <w:tcPr>
            <w:tcW w:w="3396" w:type="dxa"/>
            <w:shd w:val="clear" w:color="auto" w:fill="auto"/>
            <w:vAlign w:val="center"/>
          </w:tcPr>
          <w:p w14:paraId="1068F0E5" w14:textId="6881B6B4" w:rsidR="00A44EA6" w:rsidRPr="00A94774" w:rsidRDefault="00A44EA6">
            <w:pPr>
              <w:pStyle w:val="Els-body-text"/>
              <w:spacing w:before="120" w:after="120" w:line="264" w:lineRule="auto"/>
              <w:jc w:val="right"/>
              <w:rPr>
                <w:lang w:val="en-GB"/>
              </w:rPr>
            </w:pPr>
            <w:r w:rsidRPr="00A94774">
              <w:rPr>
                <w:lang w:val="en-GB"/>
              </w:rPr>
              <w:t>(1)</w:t>
            </w:r>
          </w:p>
        </w:tc>
      </w:tr>
    </w:tbl>
    <w:p w14:paraId="735F7EB4" w14:textId="142909FF" w:rsidR="00E21696" w:rsidRDefault="009469F0" w:rsidP="008D2649">
      <w:pPr>
        <w:pStyle w:val="Els-body-text"/>
      </w:pPr>
      <w:r>
        <w:t xml:space="preserve">Where </w:t>
      </w:r>
      <m:oMath>
        <m:sSub>
          <m:sSubPr>
            <m:ctrlPr>
              <w:rPr>
                <w:rFonts w:ascii="Cambria Math" w:hAnsi="Cambria Math"/>
                <w:i/>
              </w:rPr>
            </m:ctrlPr>
          </m:sSubPr>
          <m:e>
            <m:r>
              <w:rPr>
                <w:rFonts w:ascii="Cambria Math" w:hAnsi="Cambria Math"/>
              </w:rPr>
              <m:t>E</m:t>
            </m:r>
          </m:e>
          <m:sub>
            <m:r>
              <w:rPr>
                <w:rFonts w:ascii="Cambria Math" w:hAnsi="Cambria Math"/>
              </w:rPr>
              <m:t>ES</m:t>
            </m:r>
          </m:sub>
        </m:sSub>
      </m:oMath>
      <w:r w:rsidR="00023657">
        <w:t xml:space="preserve"> </w:t>
      </w:r>
      <w:r w:rsidR="00C60537">
        <w:t>are</w:t>
      </w:r>
      <w:r w:rsidR="004450E0">
        <w:t xml:space="preserve"> </w:t>
      </w:r>
      <w:r w:rsidR="00817CCF">
        <w:t>the source emissions by kWh produced</w:t>
      </w:r>
      <w:r w:rsidR="000F5CA4">
        <w:t xml:space="preserve"> as indicated in ADEME Base Carbone</w:t>
      </w:r>
      <w:r w:rsidR="00817CCF">
        <w:t xml:space="preserve">, in </w:t>
      </w:r>
      <w:r w:rsidR="00D5057F">
        <w:t>gCO</w:t>
      </w:r>
      <w:r w:rsidR="00D5057F" w:rsidRPr="007575E0">
        <w:rPr>
          <w:vertAlign w:val="subscript"/>
        </w:rPr>
        <w:t>2</w:t>
      </w:r>
      <w:r w:rsidR="00D5057F">
        <w:t>eq/kWh</w:t>
      </w:r>
      <w:r w:rsidR="00366E9F">
        <w:t xml:space="preserve">, and </w:t>
      </w:r>
      <m:oMath>
        <m:sSub>
          <m:sSubPr>
            <m:ctrlPr>
              <w:rPr>
                <w:rFonts w:ascii="Cambria Math" w:hAnsi="Cambria Math"/>
                <w:i/>
              </w:rPr>
            </m:ctrlPr>
          </m:sSubPr>
          <m:e>
            <m:r>
              <w:rPr>
                <w:rFonts w:ascii="Cambria Math" w:hAnsi="Cambria Math"/>
              </w:rPr>
              <m:t>P</m:t>
            </m:r>
          </m:e>
          <m:sub>
            <m:r>
              <w:rPr>
                <w:rFonts w:ascii="Cambria Math" w:hAnsi="Cambria Math"/>
              </w:rPr>
              <m:t>y</m:t>
            </m:r>
          </m:sub>
        </m:sSub>
      </m:oMath>
      <w:r w:rsidR="00366E9F">
        <w:t xml:space="preserve"> represents the yearly production</w:t>
      </w:r>
      <w:r w:rsidR="00B61B41">
        <w:t xml:space="preserve"> of the installation</w:t>
      </w:r>
      <w:r w:rsidR="006913B8">
        <w:t xml:space="preserve"> (kWh/y)</w:t>
      </w:r>
      <w:r w:rsidR="00246DB5">
        <w:t xml:space="preserve">, dependent on each source and collected in the </w:t>
      </w:r>
      <w:r w:rsidR="003F565B">
        <w:t>inventory</w:t>
      </w:r>
      <w:r w:rsidR="00B61B41">
        <w:t>.</w:t>
      </w:r>
    </w:p>
    <w:p w14:paraId="1A8AD4CA" w14:textId="77777777" w:rsidR="00390378" w:rsidRDefault="00390378" w:rsidP="00390378">
      <w:pPr>
        <w:pStyle w:val="Els-3rdorder-head"/>
      </w:pPr>
      <w:r>
        <w:t>Urbanization and land use</w:t>
      </w:r>
    </w:p>
    <w:p w14:paraId="4DE62A57" w14:textId="11948C26" w:rsidR="00390378" w:rsidRPr="0059307D" w:rsidRDefault="001166C0" w:rsidP="009F3B36">
      <w:pPr>
        <w:pStyle w:val="Els-body-text"/>
      </w:pPr>
      <w:bookmarkStart w:id="1" w:name="_Hlk151485546"/>
      <w:r>
        <w:t>A</w:t>
      </w:r>
      <w:r w:rsidR="00390378">
        <w:t>s forests and green spaces absorb</w:t>
      </w:r>
      <w:r>
        <w:t xml:space="preserve"> a </w:t>
      </w:r>
      <w:r w:rsidR="00390378">
        <w:t xml:space="preserve">part of </w:t>
      </w:r>
      <w:r>
        <w:t xml:space="preserve">carbon </w:t>
      </w:r>
      <w:r w:rsidR="00390378">
        <w:t>emissions</w:t>
      </w:r>
      <w:r>
        <w:t xml:space="preserve">, </w:t>
      </w:r>
      <w:r w:rsidR="002D4219">
        <w:t xml:space="preserve">it is </w:t>
      </w:r>
      <w:r w:rsidR="00C60537">
        <w:t>important</w:t>
      </w:r>
      <w:r w:rsidR="002D4219">
        <w:t xml:space="preserve"> to</w:t>
      </w:r>
      <w:r w:rsidR="00047A11">
        <w:t xml:space="preserve"> evaluate </w:t>
      </w:r>
      <w:r w:rsidR="00C60537">
        <w:t>the impact of</w:t>
      </w:r>
      <w:r w:rsidR="00047A11">
        <w:t xml:space="preserve"> urbanization and </w:t>
      </w:r>
      <w:r w:rsidR="00442C97">
        <w:t xml:space="preserve">global land use </w:t>
      </w:r>
      <w:r w:rsidR="00B0065C">
        <w:t>to</w:t>
      </w:r>
      <w:r w:rsidR="00DD111C">
        <w:t xml:space="preserve"> correctly</w:t>
      </w:r>
      <w:r w:rsidR="00714C77">
        <w:t xml:space="preserve"> calculate </w:t>
      </w:r>
      <w:r w:rsidR="00045F53">
        <w:t>a</w:t>
      </w:r>
      <w:r w:rsidR="003160FF">
        <w:t xml:space="preserve"> territory’s</w:t>
      </w:r>
      <w:r w:rsidR="00714C77">
        <w:t xml:space="preserve"> carbon footprin</w:t>
      </w:r>
      <w:r w:rsidR="00870FFC">
        <w:t xml:space="preserve">t </w:t>
      </w:r>
      <w:r w:rsidR="00421E22" w:rsidRPr="00CF2EB2">
        <w:fldChar w:fldCharType="begin"/>
      </w:r>
      <w:r w:rsidR="004A05A0">
        <w:instrText xml:space="preserve"> ADDIN ZOTERO_ITEM CSL_CITATION {"citationID":"f5f5r081","properties":{"formattedCitation":"({\\scaps Harris} and {\\scaps Gibbs}, 2021)","plainCitation":"(Harris and Gibbs, 2021)","dontUpdate":true,"noteIndex":0},"citationItems":[{"id":"JUyLOhlE/uLzjqRbR","uris":["http://zotero.org/users/local/hWJsRBTZ/items/MKERAQ9A"],"itemData":{"id":108,"type":"article-journal","abstract":"New data maps global carbon flux in forests, allowing us to quantify CO2 emissions and sequestration in areas ranging from local forests to countries to continents.","language":"en","source":"www.wri.org","title":"Forests Absorb Twice As Much Carbon As They Emit Each Year","URL":"https://www.wri.org/insights/forests-absorb-twice-much-carbon-they-emit-each-year","author":[{"family":"Harris","given":"Nancy"},{"family":"Gibbs","given":"David"}],"accessed":{"date-parts":[["2023",11,23]]},"issued":{"date-parts":[["2021",1,21]]}}}],"schema":"https://github.com/citation-style-language/schema/raw/master/csl-citation.json"} </w:instrText>
      </w:r>
      <w:r w:rsidR="00421E22" w:rsidRPr="00CF2EB2">
        <w:fldChar w:fldCharType="separate"/>
      </w:r>
      <w:r w:rsidR="00CF2EB2" w:rsidRPr="00CF2EB2">
        <w:t>(</w:t>
      </w:r>
      <w:r w:rsidR="00BA446A" w:rsidRPr="00CF2EB2">
        <w:t>Harris and Gibbs, 2021</w:t>
      </w:r>
      <w:r w:rsidR="00CF2EB2" w:rsidRPr="00CF2EB2">
        <w:t>)</w:t>
      </w:r>
      <w:r w:rsidR="00421E22" w:rsidRPr="00CF2EB2">
        <w:fldChar w:fldCharType="end"/>
      </w:r>
      <w:r w:rsidR="00870FFC">
        <w:t xml:space="preserve">. </w:t>
      </w:r>
      <w:r w:rsidR="00A05D7B">
        <w:t xml:space="preserve">This </w:t>
      </w:r>
      <w:r w:rsidR="003F5031">
        <w:t>is calculated</w:t>
      </w:r>
      <w:r w:rsidR="00D5231B">
        <w:t xml:space="preserve"> </w:t>
      </w:r>
      <w:r w:rsidR="00C60537">
        <w:t>from</w:t>
      </w:r>
      <w:r w:rsidR="00D5231B">
        <w:t xml:space="preserve"> the </w:t>
      </w:r>
      <w:r w:rsidR="00A81B99">
        <w:t xml:space="preserve">ground area </w:t>
      </w:r>
      <w:r w:rsidR="006210E9">
        <w:t xml:space="preserve">of the </w:t>
      </w:r>
      <w:r w:rsidR="00C60537">
        <w:t>facility</w:t>
      </w:r>
      <w:r w:rsidR="006210E9">
        <w:t xml:space="preserve"> and </w:t>
      </w:r>
      <w:r w:rsidR="00F754BA">
        <w:t>an emission factor</w:t>
      </w:r>
      <w:r w:rsidR="00C60537">
        <w:t>, dependent on the biome in which it is implanted</w:t>
      </w:r>
      <w:r w:rsidR="00C81994">
        <w:t xml:space="preserve"> </w:t>
      </w:r>
      <w:r w:rsidR="00C81994" w:rsidRPr="00CF2EB2">
        <w:fldChar w:fldCharType="begin"/>
      </w:r>
      <w:r w:rsidR="00C81994">
        <w:instrText xml:space="preserve"> ADDIN ZOTERO_ITEM CSL_CITATION {"citationID":"tPbuja46","properties":{"formattedCitation":"({\\scaps {\\scaps Lal} {\\scaps0{}{\\i{}et al.}}}, 2018)","plainCitation":"(Lal et al., 2018)","noteIndex":0},"citationItems":[{"id":491,"uris":["http://zotero.org/users/11510990/items/W4V7FVW4"],"itemData":{"id":491,"type":"article-journal","abstract":"Excerpt\nTerrestrial ecosystems, comprising vegetation and soil in uplands and wetlands, significantly impact the global carbon (C) cycle and, under natural conditions, are a sink of atmospheric carbon dioxide (CO2) and methane (CH4). However, conversion of natural to managed ecosystems (i.e., agroecosystems, urban lands, and mined lands) depletes ecosystem C stocks, aggravates gaseous emissions, and exacerbates radiative forcing. Thus, the onset of agriculture around 8000 BC presumably transformed these sinks into a source of greenhouse gases (GHGs) (Ruddiman 2003), mostly CO2, CH4, and nitrous oxide (N2O), and depleted the terrestrial (soil, vegetation, and peatlands) C stocks. Ruddiman (2005) estimated the depletion of the terrestrial C stock (soil and vegetation) by 456 Pg (502.65 × 109 tn) since the onset of agriculture. Of this, the historic depletion of soil organic carbon (SOC) stock is estimated at 130 to 135 Pg (143.3 × 109 to 148.8 × 109 tn) (Sanderman et al. 2017; Lal 2018). Therefore, recarbonization of some of the terrestrial biosphere (soil and vegetation) is an important strategy to mitigate the anthropogenic climate change (ACC) and enhance other ecosystem services because of the link between SOC stock and atmospheric concentration of CO2 (Trenberth and Smith 2005).\nRecarbonizing the terrestrial biosphere involves…","container-title":"Journal of Soil and Water Conservation","DOI":"10.2489/jswc.73.6.145A","ISSN":"0022-4561, 1941-3300","issue":"6","language":"en","license":"© 2018 by the Soil and Water Conservation Society","note":"publisher: Soil and Water Conservation Society\nsection: A Section","page":"145A-152A","source":"www.jswconline.org","title":"The carbon sequestration potential of terrestrial ecosystems","volume":"73","author":[{"family":"Lal","given":"Rattan"},{"family":"Smith","given":"Pete"},{"family":"Jungkunst","given":"Hermann F."},{"family":"Mitsch","given":"William J."},{"family":"Lehmann","given":"Johannes"},{"family":"Nair","given":"P. K. Ramachandran"},{"family":"McBratney","given":"Alex B."},{"family":"Sá","given":"João Carlos de Moraes"},{"family":"Schneider","given":"Julia"},{"family":"Zinn","given":"Yuri L."},{"family":"Skorupa","given":"Alba L. A."},{"family":"Zhang","given":"Hai-Lin"},{"family":"Minasny","given":"Budiman"},{"family":"Srinivasrao","given":"Cherukumalli"},{"family":"Ravindranath","given":"Nijavalli H."}],"issued":{"date-parts":[["2018",11,1]]}}}],"schema":"https://github.com/citation-style-language/schema/raw/master/csl-citation.json"} </w:instrText>
      </w:r>
      <w:r w:rsidR="00C81994" w:rsidRPr="00CF2EB2">
        <w:fldChar w:fldCharType="separate"/>
      </w:r>
      <w:r w:rsidR="00C81994" w:rsidRPr="00CF2EB2">
        <w:t>(Lal et al., 2018)</w:t>
      </w:r>
      <w:r w:rsidR="00C81994" w:rsidRPr="00CF2EB2">
        <w:fldChar w:fldCharType="end"/>
      </w:r>
      <w:r w:rsidR="00F970A8">
        <w:t xml:space="preserve">. This emission factor </w:t>
      </w:r>
      <w:r w:rsidR="002C1ED0">
        <w:t xml:space="preserve">is the opposite of the sequestration factor </w:t>
      </w:r>
      <w:r w:rsidR="00B62941">
        <w:t xml:space="preserve">which comes from the database of </w:t>
      </w:r>
      <w:r w:rsidR="006E5AA6">
        <w:t>the European Environment Agency (EEA</w:t>
      </w:r>
      <w:r w:rsidR="00C60537">
        <w:t>)</w:t>
      </w:r>
      <w:r w:rsidR="0028151A">
        <w:t>.</w:t>
      </w:r>
      <w:r w:rsidR="00460CB7">
        <w:t xml:space="preserve"> </w:t>
      </w:r>
      <w:r w:rsidR="006913B8">
        <w:t>T</w:t>
      </w:r>
      <w:r w:rsidR="00390378">
        <w:t>he</w:t>
      </w:r>
      <w:r w:rsidR="00ED04EA">
        <w:t xml:space="preserve"> carbon footprint d</w:t>
      </w:r>
      <w:r w:rsidR="00390378">
        <w:t xml:space="preserve">ue to urbanization is calculated as </w:t>
      </w:r>
      <w:r w:rsidR="007E34A0">
        <w:t xml:space="preserve">indicated in Eq. </w:t>
      </w:r>
      <w:r w:rsidR="0058470A">
        <w:t>(2)</w:t>
      </w:r>
    </w:p>
    <w:tbl>
      <w:tblPr>
        <w:tblStyle w:val="Grilledutableau"/>
        <w:tblW w:w="75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3732"/>
      </w:tblGrid>
      <w:tr w:rsidR="00803EC2" w14:paraId="3302E5A6" w14:textId="77777777" w:rsidTr="000838B4">
        <w:trPr>
          <w:trHeight w:val="400"/>
        </w:trPr>
        <w:tc>
          <w:tcPr>
            <w:tcW w:w="3800" w:type="dxa"/>
            <w:vAlign w:val="center"/>
          </w:tcPr>
          <w:p w14:paraId="4D12B0BC" w14:textId="7FC2EE25" w:rsidR="00803EC2" w:rsidRPr="00803EC2" w:rsidRDefault="00000000" w:rsidP="00500D45">
            <w:pPr>
              <w:pStyle w:val="Els-body-text"/>
              <w:jc w:val="left"/>
              <w:rPr>
                <w:lang w:val="fr-FR"/>
              </w:rPr>
            </w:pPr>
            <m:oMathPara>
              <m:oMathParaPr>
                <m:jc m:val="left"/>
              </m:oMathParaPr>
              <m:oMath>
                <m:sSub>
                  <m:sSubPr>
                    <m:ctrlPr>
                      <w:rPr>
                        <w:rFonts w:ascii="Cambria Math" w:hAnsi="Cambria Math"/>
                        <w:i/>
                        <w:sz w:val="22"/>
                        <w:szCs w:val="22"/>
                        <w:lang w:val="fr-FR"/>
                      </w:rPr>
                    </m:ctrlPr>
                  </m:sSubPr>
                  <m:e>
                    <m:r>
                      <w:rPr>
                        <w:rFonts w:ascii="Cambria Math" w:hAnsi="Cambria Math"/>
                        <w:sz w:val="22"/>
                        <w:szCs w:val="22"/>
                        <w:lang w:val="fr-FR"/>
                      </w:rPr>
                      <m:t>CF</m:t>
                    </m:r>
                  </m:e>
                  <m:sub>
                    <m:r>
                      <w:rPr>
                        <w:rFonts w:ascii="Cambria Math" w:hAnsi="Cambria Math"/>
                        <w:sz w:val="22"/>
                        <w:szCs w:val="22"/>
                        <w:lang w:val="fr-FR"/>
                      </w:rPr>
                      <m:t>U</m:t>
                    </m:r>
                  </m:sub>
                </m:sSub>
                <m:r>
                  <w:rPr>
                    <w:rFonts w:ascii="Cambria Math" w:hAnsi="Cambria Math"/>
                    <w:sz w:val="22"/>
                    <w:szCs w:val="22"/>
                    <w:lang w:val="fr-FR"/>
                  </w:rPr>
                  <m:t>=</m:t>
                </m:r>
                <m:sSub>
                  <m:sSubPr>
                    <m:ctrlPr>
                      <w:rPr>
                        <w:rFonts w:ascii="Cambria Math" w:hAnsi="Cambria Math"/>
                        <w:i/>
                        <w:sz w:val="22"/>
                        <w:szCs w:val="22"/>
                        <w:lang w:val="fr-FR"/>
                      </w:rPr>
                    </m:ctrlPr>
                  </m:sSubPr>
                  <m:e>
                    <m:r>
                      <w:rPr>
                        <w:rFonts w:ascii="Cambria Math" w:hAnsi="Cambria Math"/>
                        <w:sz w:val="22"/>
                        <w:szCs w:val="22"/>
                        <w:lang w:val="fr-FR"/>
                      </w:rPr>
                      <m:t>EF</m:t>
                    </m:r>
                  </m:e>
                  <m:sub>
                    <m:r>
                      <w:rPr>
                        <w:rFonts w:ascii="Cambria Math" w:hAnsi="Cambria Math"/>
                        <w:sz w:val="22"/>
                        <w:szCs w:val="22"/>
                        <w:lang w:val="fr-FR"/>
                      </w:rPr>
                      <m:t>LU</m:t>
                    </m:r>
                  </m:sub>
                </m:sSub>
                <m:r>
                  <w:rPr>
                    <w:rFonts w:ascii="Cambria Math" w:hAnsi="Cambria Math"/>
                    <w:sz w:val="22"/>
                    <w:szCs w:val="22"/>
                    <w:lang w:val="fr-FR"/>
                  </w:rPr>
                  <m:t>*A</m:t>
                </m:r>
              </m:oMath>
            </m:oMathPara>
          </w:p>
        </w:tc>
        <w:tc>
          <w:tcPr>
            <w:tcW w:w="3732" w:type="dxa"/>
            <w:vAlign w:val="center"/>
          </w:tcPr>
          <w:p w14:paraId="61130DBD" w14:textId="14F3AB3E" w:rsidR="00803EC2" w:rsidRDefault="00803EC2" w:rsidP="00803EC2">
            <w:pPr>
              <w:pStyle w:val="Els-body-text"/>
              <w:jc w:val="right"/>
              <w:rPr>
                <w:lang w:val="fr-FR"/>
              </w:rPr>
            </w:pPr>
            <w:r>
              <w:rPr>
                <w:lang w:val="fr-FR"/>
              </w:rPr>
              <w:t>(2)</w:t>
            </w:r>
          </w:p>
        </w:tc>
      </w:tr>
    </w:tbl>
    <w:bookmarkEnd w:id="1"/>
    <w:p w14:paraId="37BEDFAC" w14:textId="77777777" w:rsidR="00C60537" w:rsidRDefault="00390378" w:rsidP="00390378">
      <w:pPr>
        <w:pStyle w:val="Els-body-text"/>
      </w:pPr>
      <w:r>
        <w:t>With EF</w:t>
      </w:r>
      <w:r w:rsidRPr="00366D64">
        <w:rPr>
          <w:vertAlign w:val="subscript"/>
        </w:rPr>
        <w:t>LU</w:t>
      </w:r>
      <w:r>
        <w:t xml:space="preserve"> the emission factor corresponding to the land use change (gCO</w:t>
      </w:r>
      <w:r w:rsidRPr="0065317B">
        <w:rPr>
          <w:vertAlign w:val="subscript"/>
        </w:rPr>
        <w:t>2</w:t>
      </w:r>
      <w:r>
        <w:t>eq/ha/y)</w:t>
      </w:r>
      <w:r w:rsidR="003838C2">
        <w:t xml:space="preserve"> </w:t>
      </w:r>
      <w:r>
        <w:t>and A the ground area of the installation (ha)</w:t>
      </w:r>
      <w:r w:rsidR="007800A5">
        <w:t xml:space="preserve">, which depends </w:t>
      </w:r>
      <w:r w:rsidR="00B15E75">
        <w:t>on the source and is collected in the inventory.</w:t>
      </w:r>
      <w:r w:rsidR="00F30934">
        <w:t xml:space="preserve"> </w:t>
      </w:r>
    </w:p>
    <w:p w14:paraId="15D1F980" w14:textId="5A820037" w:rsidR="00390378" w:rsidRPr="00BE08B8" w:rsidRDefault="00943715" w:rsidP="00390378">
      <w:pPr>
        <w:pStyle w:val="Els-body-text"/>
      </w:pPr>
      <w:r>
        <w:t xml:space="preserve">As </w:t>
      </w:r>
      <w:r w:rsidR="008D7BA3">
        <w:t>the installation of solar panel</w:t>
      </w:r>
      <w:r w:rsidR="006913B8">
        <w:t>s</w:t>
      </w:r>
      <w:r w:rsidR="008D7BA3">
        <w:t xml:space="preserve"> </w:t>
      </w:r>
      <w:r>
        <w:t>on</w:t>
      </w:r>
      <w:r w:rsidR="008D7BA3">
        <w:t xml:space="preserve"> </w:t>
      </w:r>
      <w:r w:rsidR="00C60537">
        <w:t>already</w:t>
      </w:r>
      <w:r w:rsidR="008D7BA3">
        <w:t xml:space="preserve"> </w:t>
      </w:r>
      <w:r w:rsidR="00C60537">
        <w:t>urbanized areas</w:t>
      </w:r>
      <w:r w:rsidR="00FF15A8">
        <w:t xml:space="preserve"> (</w:t>
      </w:r>
      <w:r>
        <w:t>roofs</w:t>
      </w:r>
      <w:r w:rsidR="00FF15A8">
        <w:t xml:space="preserve">, </w:t>
      </w:r>
      <w:r>
        <w:t>car parks</w:t>
      </w:r>
      <w:r w:rsidR="00FF15A8">
        <w:t>)</w:t>
      </w:r>
      <w:r w:rsidR="008D7BA3">
        <w:t xml:space="preserve"> </w:t>
      </w:r>
      <w:r w:rsidR="007075C3">
        <w:t xml:space="preserve">does not induce any additional urbanization on the ground, </w:t>
      </w:r>
      <w:r w:rsidR="004B2A34">
        <w:t>the ground area for these installation</w:t>
      </w:r>
      <w:r w:rsidR="00E23DA3">
        <w:t>s</w:t>
      </w:r>
      <w:r w:rsidR="004B2A34">
        <w:t xml:space="preserve"> </w:t>
      </w:r>
      <w:r w:rsidR="00FF15A8">
        <w:t>is counted as</w:t>
      </w:r>
      <w:r w:rsidR="00F02445">
        <w:t xml:space="preserve"> zero.</w:t>
      </w:r>
    </w:p>
    <w:p w14:paraId="442B8620" w14:textId="580C9691" w:rsidR="00B42181" w:rsidRDefault="009F2024" w:rsidP="00B42181">
      <w:pPr>
        <w:pStyle w:val="Els-3rdorder-head"/>
      </w:pPr>
      <w:r>
        <w:t>Distance</w:t>
      </w:r>
    </w:p>
    <w:p w14:paraId="52053FA8" w14:textId="340D108A" w:rsidR="009F2024" w:rsidRDefault="00867AA5" w:rsidP="00A14438">
      <w:pPr>
        <w:pStyle w:val="Els-body-text"/>
      </w:pPr>
      <w:r>
        <w:t xml:space="preserve">The distance between production facilities and consumption areas is considered in evaluation methods for facility-location purposes, in the evaluation of energy projects. Here, it is </w:t>
      </w:r>
      <w:r w:rsidR="00A14438">
        <w:t>used to evaluate an energy mix,</w:t>
      </w:r>
      <w:r w:rsidR="00FF15A8">
        <w:t xml:space="preserve"> expressed through </w:t>
      </w:r>
      <w:r w:rsidR="005A0E86">
        <w:t xml:space="preserve">the </w:t>
      </w:r>
      <w:r w:rsidR="00FF15A8">
        <w:t xml:space="preserve">energy </w:t>
      </w:r>
      <w:r w:rsidR="005A0E86">
        <w:t xml:space="preserve">losses </w:t>
      </w:r>
      <w:r w:rsidR="00FF15A8">
        <w:t>in transportation and the emissivity of a compensation energy.</w:t>
      </w:r>
      <w:r w:rsidR="004B4FE6">
        <w:t xml:space="preserve"> </w:t>
      </w:r>
      <w:r w:rsidR="009E0D0E">
        <w:t xml:space="preserve">In France, this compensation </w:t>
      </w:r>
      <w:r w:rsidR="00725890">
        <w:t>is considered equal to 598</w:t>
      </w:r>
      <w:r w:rsidR="00725890" w:rsidRPr="00725890">
        <w:t xml:space="preserve"> </w:t>
      </w:r>
      <w:r w:rsidR="00725890">
        <w:t>gCO</w:t>
      </w:r>
      <w:r w:rsidR="00725890" w:rsidRPr="0021673E">
        <w:rPr>
          <w:vertAlign w:val="subscript"/>
        </w:rPr>
        <w:t>2</w:t>
      </w:r>
      <w:r w:rsidR="00725890">
        <w:t>eq per kWh</w:t>
      </w:r>
      <w:r w:rsidR="00FF15A8">
        <w:t xml:space="preserve">, which is the LCA carbon footprint of </w:t>
      </w:r>
      <w:r w:rsidR="00725890">
        <w:t>imported gas</w:t>
      </w:r>
      <w:r w:rsidR="00FF15A8">
        <w:t xml:space="preserve"> for electricity generation</w:t>
      </w:r>
      <w:r w:rsidR="00725890">
        <w:t>.</w:t>
      </w:r>
      <w:r w:rsidR="007D1178">
        <w:t xml:space="preserve"> </w:t>
      </w:r>
      <w:r w:rsidR="006B0012">
        <w:t xml:space="preserve">The </w:t>
      </w:r>
      <w:r w:rsidR="00E4509D">
        <w:t>distance</w:t>
      </w:r>
      <w:r w:rsidR="00DA510A">
        <w:t>-</w:t>
      </w:r>
      <w:r w:rsidR="00E4509D">
        <w:t>related carbon footprint</w:t>
      </w:r>
      <w:r w:rsidR="006B0012">
        <w:t xml:space="preserve"> is </w:t>
      </w:r>
      <w:r w:rsidR="00FF15A8">
        <w:t>expressed</w:t>
      </w:r>
      <w:r w:rsidR="006B0012">
        <w:t xml:space="preserve"> </w:t>
      </w:r>
      <w:r w:rsidR="002F70CE">
        <w:t>in Eq. (3)</w:t>
      </w:r>
    </w:p>
    <w:tbl>
      <w:tblPr>
        <w:tblStyle w:val="Grilledutableau"/>
        <w:tblW w:w="7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6"/>
        <w:gridCol w:w="3827"/>
      </w:tblGrid>
      <w:tr w:rsidR="00500D45" w14:paraId="72434932" w14:textId="77777777" w:rsidTr="00963408">
        <w:trPr>
          <w:trHeight w:val="457"/>
        </w:trPr>
        <w:tc>
          <w:tcPr>
            <w:tcW w:w="3896" w:type="dxa"/>
            <w:vAlign w:val="center"/>
          </w:tcPr>
          <w:p w14:paraId="421B09B3" w14:textId="0E23AD79" w:rsidR="00500D45" w:rsidRPr="00803EC2" w:rsidRDefault="00000000">
            <w:pPr>
              <w:pStyle w:val="Els-body-text"/>
              <w:jc w:val="left"/>
              <w:rPr>
                <w:lang w:val="fr-FR"/>
              </w:rPr>
            </w:pPr>
            <m:oMathPara>
              <m:oMathParaPr>
                <m:jc m:val="left"/>
              </m:oMathParaPr>
              <m:oMath>
                <m:sSub>
                  <m:sSubPr>
                    <m:ctrlPr>
                      <w:rPr>
                        <w:rFonts w:ascii="Cambria Math" w:hAnsi="Cambria Math"/>
                        <w:i/>
                        <w:sz w:val="22"/>
                        <w:szCs w:val="22"/>
                      </w:rPr>
                    </m:ctrlPr>
                  </m:sSubPr>
                  <m:e>
                    <m:r>
                      <w:rPr>
                        <w:rFonts w:ascii="Cambria Math" w:hAnsi="Cambria Math"/>
                        <w:sz w:val="22"/>
                        <w:szCs w:val="22"/>
                      </w:rPr>
                      <m:t>CF</m:t>
                    </m:r>
                  </m:e>
                  <m:sub>
                    <m:r>
                      <w:rPr>
                        <w:rFonts w:ascii="Cambria Math" w:hAnsi="Cambria Math"/>
                        <w:sz w:val="22"/>
                        <w:szCs w:val="22"/>
                      </w:rPr>
                      <m: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L</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CE</m:t>
                    </m:r>
                  </m:sub>
                </m:sSub>
                <m:r>
                  <w:rPr>
                    <w:rFonts w:ascii="Cambria Math" w:hAnsi="Cambria Math"/>
                    <w:sz w:val="22"/>
                    <w:szCs w:val="22"/>
                  </w:rPr>
                  <m:t>*D</m:t>
                </m:r>
              </m:oMath>
            </m:oMathPara>
          </w:p>
        </w:tc>
        <w:tc>
          <w:tcPr>
            <w:tcW w:w="3827" w:type="dxa"/>
            <w:vAlign w:val="center"/>
          </w:tcPr>
          <w:p w14:paraId="22500101" w14:textId="1DB53944" w:rsidR="00500D45" w:rsidRDefault="00500D45">
            <w:pPr>
              <w:pStyle w:val="Els-body-text"/>
              <w:jc w:val="right"/>
              <w:rPr>
                <w:lang w:val="fr-FR"/>
              </w:rPr>
            </w:pPr>
            <w:r>
              <w:rPr>
                <w:lang w:val="fr-FR"/>
              </w:rPr>
              <w:t>(3)</w:t>
            </w:r>
          </w:p>
        </w:tc>
      </w:tr>
    </w:tbl>
    <w:p w14:paraId="1E4C4DB0" w14:textId="13D1EBC0" w:rsidR="001A4EEA" w:rsidRDefault="00314BAC" w:rsidP="009F2024">
      <w:pPr>
        <w:pStyle w:val="Els-body-text"/>
      </w:pPr>
      <w:r>
        <w:t>W</w:t>
      </w:r>
      <w:r w:rsidR="00FC419B">
        <w:t>here</w:t>
      </w:r>
      <w:r w:rsidR="009F7407">
        <w:t xml:space="preserve"> P</w:t>
      </w:r>
      <w:r w:rsidR="009F7407" w:rsidRPr="009F7407">
        <w:rPr>
          <w:vertAlign w:val="subscript"/>
        </w:rPr>
        <w:t>L</w:t>
      </w:r>
      <w:r w:rsidR="009F7407">
        <w:t xml:space="preserve"> </w:t>
      </w:r>
      <w:r w:rsidR="00FC419B">
        <w:t xml:space="preserve">represents </w:t>
      </w:r>
      <w:r>
        <w:t xml:space="preserve">the </w:t>
      </w:r>
      <w:r w:rsidR="0034353A">
        <w:t>accounted losses during transportation</w:t>
      </w:r>
      <w:r w:rsidR="0069364C">
        <w:t xml:space="preserve">, </w:t>
      </w:r>
      <w:r w:rsidR="00294483">
        <w:t>in</w:t>
      </w:r>
      <w:r w:rsidR="0034353A">
        <w:t xml:space="preserve"> </w:t>
      </w:r>
      <w:r w:rsidR="00400C55">
        <w:t>kWh/</w:t>
      </w:r>
      <w:r w:rsidR="00DC56F2">
        <w:t>km/y</w:t>
      </w:r>
      <w:r w:rsidR="008766E7">
        <w:t xml:space="preserve"> which </w:t>
      </w:r>
      <w:r w:rsidR="002E566B">
        <w:t>depends on the study zone</w:t>
      </w:r>
      <w:r w:rsidR="00C61FAD">
        <w:t xml:space="preserve">, </w:t>
      </w:r>
      <w:r w:rsidR="00432113">
        <w:t>E</w:t>
      </w:r>
      <w:r w:rsidR="00432113" w:rsidRPr="00314BAC">
        <w:rPr>
          <w:vertAlign w:val="subscript"/>
        </w:rPr>
        <w:t>CE</w:t>
      </w:r>
      <w:r w:rsidR="00432113">
        <w:t xml:space="preserve"> </w:t>
      </w:r>
      <w:r w:rsidR="00A14438">
        <w:t>is the</w:t>
      </w:r>
      <w:r w:rsidR="00852AFD">
        <w:t xml:space="preserve"> </w:t>
      </w:r>
      <w:r w:rsidR="00DC56F2">
        <w:t>emissi</w:t>
      </w:r>
      <w:r w:rsidR="00A14438">
        <w:t>vity</w:t>
      </w:r>
      <w:r w:rsidR="00DC56F2">
        <w:t xml:space="preserve"> of the </w:t>
      </w:r>
      <w:r w:rsidR="00EC18AD">
        <w:t xml:space="preserve">compensation energy </w:t>
      </w:r>
      <w:r w:rsidR="00852AFD">
        <w:t xml:space="preserve">in </w:t>
      </w:r>
      <w:r w:rsidR="0021673E">
        <w:t>gCO</w:t>
      </w:r>
      <w:r w:rsidR="0021673E" w:rsidRPr="0021673E">
        <w:rPr>
          <w:vertAlign w:val="subscript"/>
        </w:rPr>
        <w:t>2</w:t>
      </w:r>
      <w:r w:rsidR="0021673E">
        <w:t>eq/kWh</w:t>
      </w:r>
      <w:r w:rsidR="00852AFD">
        <w:t>, and</w:t>
      </w:r>
      <w:r w:rsidR="006A130E">
        <w:t xml:space="preserve"> D</w:t>
      </w:r>
      <w:r w:rsidR="00852AFD">
        <w:t xml:space="preserve"> </w:t>
      </w:r>
      <w:r w:rsidR="006A130E">
        <w:t xml:space="preserve">the distance between the </w:t>
      </w:r>
      <w:r w:rsidR="00EE2393">
        <w:t>energy source and the infrastructure</w:t>
      </w:r>
      <w:r w:rsidR="00852AFD">
        <w:t xml:space="preserve"> studied</w:t>
      </w:r>
      <w:r w:rsidR="004A2810">
        <w:t xml:space="preserve"> in km</w:t>
      </w:r>
      <w:r w:rsidR="00A879A5">
        <w:t xml:space="preserve">, </w:t>
      </w:r>
      <w:r w:rsidR="00680F1E">
        <w:t xml:space="preserve">collected </w:t>
      </w:r>
      <w:r w:rsidR="00A14438">
        <w:t>dur</w:t>
      </w:r>
      <w:r w:rsidR="00680F1E">
        <w:t>in</w:t>
      </w:r>
      <w:r w:rsidR="00A14438">
        <w:t>g</w:t>
      </w:r>
      <w:r w:rsidR="00680F1E">
        <w:t xml:space="preserve"> the inventory.</w:t>
      </w:r>
    </w:p>
    <w:p w14:paraId="11EE361A" w14:textId="693E9AB8" w:rsidR="009F2024" w:rsidRDefault="009F2024" w:rsidP="009F2024">
      <w:pPr>
        <w:pStyle w:val="Els-3rdorder-head"/>
      </w:pPr>
      <w:r>
        <w:t xml:space="preserve">Construction of global </w:t>
      </w:r>
      <w:r w:rsidR="0019722E">
        <w:t>indicator</w:t>
      </w:r>
    </w:p>
    <w:p w14:paraId="6C3E04AC" w14:textId="1AB990D4" w:rsidR="00742B39" w:rsidRDefault="002F1E0E" w:rsidP="008D2649">
      <w:pPr>
        <w:pStyle w:val="Els-body-text"/>
      </w:pPr>
      <w:r>
        <w:t>A</w:t>
      </w:r>
      <w:r w:rsidR="009A4E8C">
        <w:t xml:space="preserve">s </w:t>
      </w:r>
      <w:r w:rsidR="00A14438">
        <w:t>all</w:t>
      </w:r>
      <w:r w:rsidR="005741D4">
        <w:t xml:space="preserve"> three criteria </w:t>
      </w:r>
      <w:r w:rsidR="005A6624">
        <w:t xml:space="preserve">are expressed in </w:t>
      </w:r>
      <w:r w:rsidR="00A14438">
        <w:t>gCO</w:t>
      </w:r>
      <w:r w:rsidR="00A14438" w:rsidRPr="0021673E">
        <w:rPr>
          <w:vertAlign w:val="subscript"/>
        </w:rPr>
        <w:t>2</w:t>
      </w:r>
      <w:r w:rsidR="00A14438">
        <w:t>eq/kWh</w:t>
      </w:r>
      <w:r w:rsidR="00975475">
        <w:t xml:space="preserve">, </w:t>
      </w:r>
      <w:r w:rsidR="00A14438">
        <w:t>they can be combined</w:t>
      </w:r>
      <w:r w:rsidR="00474377">
        <w:t xml:space="preserve"> to obtain a final value</w:t>
      </w:r>
      <w:r w:rsidR="00333CFC">
        <w:t xml:space="preserve"> as shown in Eq. (4)</w:t>
      </w:r>
      <w:r w:rsidR="00474377">
        <w:t xml:space="preserve">. </w:t>
      </w:r>
      <w:r w:rsidR="004E458A">
        <w:t xml:space="preserve">It represents </w:t>
      </w:r>
      <w:r w:rsidR="00167D9D">
        <w:t>the resulting evaluation of every pr</w:t>
      </w:r>
      <w:r w:rsidR="0065156A">
        <w:t xml:space="preserve">ecedent </w:t>
      </w:r>
      <w:r w:rsidR="00E66611">
        <w:t>criterion and</w:t>
      </w:r>
      <w:r w:rsidR="00875421">
        <w:t xml:space="preserve"> allows a comparison between </w:t>
      </w:r>
      <w:r w:rsidR="00A63952">
        <w:t>different infrastruc</w:t>
      </w:r>
      <w:r w:rsidR="00E66611">
        <w:t>tures</w:t>
      </w:r>
      <w:r w:rsidR="0065156A">
        <w:t>.</w:t>
      </w:r>
      <w:r w:rsidR="008A2314">
        <w:t xml:space="preserve"> </w:t>
      </w:r>
    </w:p>
    <w:tbl>
      <w:tblPr>
        <w:tblStyle w:val="Grilledutableau"/>
        <w:tblpPr w:leftFromText="141" w:rightFromText="141" w:vertAnchor="text" w:horzAnchor="margin" w:tblpY="26"/>
        <w:tblW w:w="7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3"/>
        <w:gridCol w:w="3686"/>
      </w:tblGrid>
      <w:tr w:rsidR="00A14438" w14:paraId="654FAE60" w14:textId="77777777" w:rsidTr="00A14438">
        <w:trPr>
          <w:trHeight w:val="329"/>
        </w:trPr>
        <w:tc>
          <w:tcPr>
            <w:tcW w:w="3753" w:type="dxa"/>
            <w:vAlign w:val="center"/>
          </w:tcPr>
          <w:p w14:paraId="18E94472" w14:textId="77777777" w:rsidR="00A14438" w:rsidRPr="00803EC2" w:rsidRDefault="00000000" w:rsidP="00A14438">
            <w:pPr>
              <w:pStyle w:val="Els-body-text"/>
              <w:ind w:firstLine="720"/>
              <w:rPr>
                <w:lang w:val="fr-FR"/>
              </w:rPr>
            </w:pPr>
            <m:oMathPara>
              <m:oMathParaPr>
                <m:jc m:val="left"/>
              </m:oMathParaPr>
              <m:oMath>
                <m:sSub>
                  <m:sSubPr>
                    <m:ctrlPr>
                      <w:rPr>
                        <w:rFonts w:ascii="Cambria Math" w:hAnsi="Cambria Math"/>
                        <w:i/>
                        <w:sz w:val="22"/>
                        <w:szCs w:val="22"/>
                      </w:rPr>
                    </m:ctrlPr>
                  </m:sSubPr>
                  <m:e>
                    <m:r>
                      <w:rPr>
                        <w:rFonts w:ascii="Cambria Math" w:hAnsi="Cambria Math"/>
                        <w:sz w:val="22"/>
                        <w:szCs w:val="22"/>
                      </w:rPr>
                      <m:t>CF</m:t>
                    </m:r>
                  </m:e>
                  <m:sub>
                    <m:r>
                      <w:rPr>
                        <w:rFonts w:ascii="Cambria Math" w:hAnsi="Cambria Math"/>
                        <w:sz w:val="22"/>
                        <w:szCs w:val="22"/>
                      </w:rPr>
                      <m:t>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CF</m:t>
                    </m:r>
                  </m:e>
                  <m:sub>
                    <m:r>
                      <w:rPr>
                        <w:rFonts w:ascii="Cambria Math" w:hAnsi="Cambria Math"/>
                        <w:sz w:val="22"/>
                        <w:szCs w:val="22"/>
                      </w:rPr>
                      <m:t>ES</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CF</m:t>
                    </m:r>
                  </m:e>
                  <m:sub>
                    <m:r>
                      <w:rPr>
                        <w:rFonts w:ascii="Cambria Math" w:hAnsi="Cambria Math"/>
                        <w:sz w:val="22"/>
                        <w:szCs w:val="22"/>
                      </w:rPr>
                      <m:t>U</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CF</m:t>
                    </m:r>
                  </m:e>
                  <m:sub>
                    <m:r>
                      <w:rPr>
                        <w:rFonts w:ascii="Cambria Math" w:hAnsi="Cambria Math"/>
                        <w:sz w:val="22"/>
                        <w:szCs w:val="22"/>
                      </w:rPr>
                      <m:t>D</m:t>
                    </m:r>
                  </m:sub>
                </m:sSub>
              </m:oMath>
            </m:oMathPara>
          </w:p>
        </w:tc>
        <w:tc>
          <w:tcPr>
            <w:tcW w:w="3686" w:type="dxa"/>
            <w:vAlign w:val="center"/>
          </w:tcPr>
          <w:p w14:paraId="47F38C06" w14:textId="77777777" w:rsidR="00A14438" w:rsidRDefault="00A14438" w:rsidP="00A14438">
            <w:pPr>
              <w:pStyle w:val="Els-body-text"/>
              <w:jc w:val="right"/>
              <w:rPr>
                <w:lang w:val="fr-FR"/>
              </w:rPr>
            </w:pPr>
            <w:r>
              <w:rPr>
                <w:lang w:val="fr-FR"/>
              </w:rPr>
              <w:t>(4)</w:t>
            </w:r>
          </w:p>
        </w:tc>
      </w:tr>
    </w:tbl>
    <w:p w14:paraId="04A24737" w14:textId="2C2AB4EC" w:rsidR="003F1511" w:rsidRDefault="00474377" w:rsidP="008D2649">
      <w:pPr>
        <w:pStyle w:val="Els-body-text"/>
      </w:pPr>
      <w:r>
        <w:t xml:space="preserve">This value </w:t>
      </w:r>
      <w:r w:rsidR="00844D29">
        <w:t>is</w:t>
      </w:r>
      <w:r w:rsidR="00C67186">
        <w:t xml:space="preserve"> expressed in gCO</w:t>
      </w:r>
      <w:r w:rsidR="00C67186" w:rsidRPr="00487A8E">
        <w:rPr>
          <w:vertAlign w:val="subscript"/>
        </w:rPr>
        <w:t>2</w:t>
      </w:r>
      <w:r w:rsidR="00C67186">
        <w:t xml:space="preserve">eq/y, to </w:t>
      </w:r>
      <w:r w:rsidR="00142696">
        <w:t>assess the yearly carbon emission</w:t>
      </w:r>
      <w:r w:rsidR="009561AA">
        <w:t>s of</w:t>
      </w:r>
      <w:r w:rsidR="00192C43">
        <w:t xml:space="preserve"> </w:t>
      </w:r>
      <w:r w:rsidR="00571098">
        <w:t>installation</w:t>
      </w:r>
      <w:r w:rsidR="009561AA">
        <w:t>.</w:t>
      </w:r>
      <w:r w:rsidR="00A649DB">
        <w:t xml:space="preserve"> </w:t>
      </w:r>
    </w:p>
    <w:p w14:paraId="642EEFAF" w14:textId="6D231BDB" w:rsidR="006F4DB7" w:rsidRDefault="009F2024" w:rsidP="008D2649">
      <w:pPr>
        <w:pStyle w:val="Els-2ndorder-head"/>
      </w:pPr>
      <w:r>
        <w:lastRenderedPageBreak/>
        <w:t xml:space="preserve">Energy mix impact evaluation </w:t>
      </w:r>
    </w:p>
    <w:p w14:paraId="39EC7475" w14:textId="0F18388F" w:rsidR="004330FB" w:rsidRDefault="001568BF" w:rsidP="008D2649">
      <w:pPr>
        <w:pStyle w:val="Els-body-text"/>
      </w:pPr>
      <w:r>
        <w:t xml:space="preserve">Once </w:t>
      </w:r>
      <w:r w:rsidR="00605589">
        <w:t>the yearly ca</w:t>
      </w:r>
      <w:r w:rsidR="00684A7C">
        <w:t xml:space="preserve">rbon emissions of each source of energy of the infrastructure studied, </w:t>
      </w:r>
      <w:r w:rsidR="009E7AF7">
        <w:t xml:space="preserve">they can all be </w:t>
      </w:r>
      <w:r w:rsidR="00F978A0">
        <w:t xml:space="preserve">agglomerated </w:t>
      </w:r>
      <w:r w:rsidR="00756064">
        <w:t xml:space="preserve">to calculate a </w:t>
      </w:r>
      <w:r w:rsidR="00B3539E">
        <w:t>global carbon footprint</w:t>
      </w:r>
      <w:r w:rsidR="00F53CDA">
        <w:t>, as shown in Eq (5)</w:t>
      </w:r>
      <w:r w:rsidR="00B3539E">
        <w:t xml:space="preserve">. </w:t>
      </w:r>
      <w:r w:rsidR="00FC6BAB">
        <w:t xml:space="preserve">This </w:t>
      </w:r>
      <w:r w:rsidR="00D84DE2">
        <w:t>global carbon footprint</w:t>
      </w:r>
      <w:r w:rsidR="005111BC">
        <w:t xml:space="preserve"> is in fact a</w:t>
      </w:r>
      <w:r w:rsidR="008660B9">
        <w:t>n evaluation of the energy mix of th</w:t>
      </w:r>
      <w:r w:rsidR="00F13962">
        <w:t>e infrastruc</w:t>
      </w:r>
      <w:r w:rsidR="001E40CA">
        <w:t>ture</w:t>
      </w:r>
      <w:r w:rsidR="00456DD2">
        <w:t xml:space="preserve">. This </w:t>
      </w:r>
      <w:r w:rsidR="000D78A1">
        <w:t>evaluation</w:t>
      </w:r>
      <w:r w:rsidR="0026460F">
        <w:t xml:space="preserve"> </w:t>
      </w:r>
      <w:r w:rsidR="00CB40CC">
        <w:t>is an innovation because it</w:t>
      </w:r>
      <w:r w:rsidR="000D78A1">
        <w:t xml:space="preserve"> becomes a </w:t>
      </w:r>
      <w:r w:rsidR="00B529BA">
        <w:t>tool for monitoring and comparison over time and with other projects</w:t>
      </w:r>
      <w:r w:rsidR="003B71CA">
        <w:t xml:space="preserve"> of infrastructures</w:t>
      </w:r>
      <w:r w:rsidR="00B529BA">
        <w:t>.</w:t>
      </w:r>
      <w:r w:rsidR="008A4897">
        <w:t xml:space="preserve"> It</w:t>
      </w:r>
      <w:r w:rsidR="00D446FD">
        <w:t xml:space="preserve"> also is a decision-support tool a</w:t>
      </w:r>
      <w:r w:rsidR="00F20CEF">
        <w:t>s it</w:t>
      </w:r>
      <w:r w:rsidR="008A4897">
        <w:t xml:space="preserve"> can </w:t>
      </w:r>
      <w:r w:rsidR="00411B8E">
        <w:t>help</w:t>
      </w:r>
      <w:r w:rsidR="006B5088">
        <w:t xml:space="preserve"> deci</w:t>
      </w:r>
      <w:r w:rsidR="00411B8E">
        <w:t>ding</w:t>
      </w:r>
      <w:r w:rsidR="006B5088">
        <w:t xml:space="preserve"> about the source of energy used in an infrastructure</w:t>
      </w:r>
      <w:r w:rsidR="00383ABD">
        <w:t xml:space="preserve"> and</w:t>
      </w:r>
      <w:r w:rsidR="003147C4">
        <w:t xml:space="preserve"> evaluating the interest of a project</w:t>
      </w:r>
      <w:r w:rsidR="009C3414">
        <w:t xml:space="preserve">. As the three main </w:t>
      </w:r>
      <w:r w:rsidR="00D51C66">
        <w:t>criteria</w:t>
      </w:r>
      <w:r w:rsidR="00DE02DA">
        <w:t>,</w:t>
      </w:r>
      <w:r w:rsidR="00D51C66">
        <w:t xml:space="preserve"> related to</w:t>
      </w:r>
      <w:r w:rsidR="00ED67AB">
        <w:t xml:space="preserve"> the </w:t>
      </w:r>
      <w:r w:rsidR="00D51C66">
        <w:t>energy sector</w:t>
      </w:r>
      <w:r w:rsidR="00BE35F9">
        <w:t xml:space="preserve">, the </w:t>
      </w:r>
      <w:r w:rsidR="00C26252">
        <w:t>urbanization,</w:t>
      </w:r>
      <w:r w:rsidR="00BE35F9">
        <w:t xml:space="preserve"> and the distance, are all </w:t>
      </w:r>
      <w:r w:rsidR="00374B3F">
        <w:t xml:space="preserve">expressed in the same unit, </w:t>
      </w:r>
      <w:r w:rsidR="00947D0E">
        <w:t xml:space="preserve">they can also be compared </w:t>
      </w:r>
      <w:r w:rsidR="00C949CA">
        <w:t>with values from other infrastructures.</w:t>
      </w:r>
    </w:p>
    <w:tbl>
      <w:tblPr>
        <w:tblStyle w:val="Grilledutableau"/>
        <w:tblpPr w:leftFromText="141" w:rightFromText="141" w:vertAnchor="text" w:horzAnchor="margin" w:tblpY="39"/>
        <w:tblW w:w="7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5"/>
        <w:gridCol w:w="3629"/>
      </w:tblGrid>
      <w:tr w:rsidR="004330FB" w14:paraId="01AF3229" w14:textId="77777777" w:rsidTr="004330FB">
        <w:trPr>
          <w:trHeight w:val="600"/>
        </w:trPr>
        <w:tc>
          <w:tcPr>
            <w:tcW w:w="3695" w:type="dxa"/>
            <w:vAlign w:val="center"/>
          </w:tcPr>
          <w:p w14:paraId="2FB18061" w14:textId="77777777" w:rsidR="004330FB" w:rsidRPr="00803EC2" w:rsidRDefault="00000000" w:rsidP="004330FB">
            <w:pPr>
              <w:pStyle w:val="Els-body-text"/>
              <w:ind w:firstLine="720"/>
              <w:rPr>
                <w:lang w:val="fr-FR"/>
              </w:rPr>
            </w:pPr>
            <m:oMathPara>
              <m:oMathParaPr>
                <m:jc m:val="left"/>
              </m:oMathParaPr>
              <m:oMath>
                <m:sSub>
                  <m:sSubPr>
                    <m:ctrlPr>
                      <w:rPr>
                        <w:rFonts w:ascii="Cambria Math" w:hAnsi="Cambria Math"/>
                        <w:i/>
                        <w:sz w:val="22"/>
                        <w:szCs w:val="22"/>
                      </w:rPr>
                    </m:ctrlPr>
                  </m:sSubPr>
                  <m:e>
                    <m:r>
                      <w:rPr>
                        <w:rFonts w:ascii="Cambria Math" w:hAnsi="Cambria Math"/>
                        <w:sz w:val="22"/>
                        <w:szCs w:val="22"/>
                      </w:rPr>
                      <m:t>CF</m:t>
                    </m:r>
                  </m:e>
                  <m:sub>
                    <m:r>
                      <w:rPr>
                        <w:rFonts w:ascii="Cambria Math" w:hAnsi="Cambria Math"/>
                        <w:sz w:val="22"/>
                        <w:szCs w:val="22"/>
                      </w:rPr>
                      <m:t>EM</m:t>
                    </m:r>
                  </m:sub>
                </m:sSub>
                <m:r>
                  <w:rPr>
                    <w:rFonts w:ascii="Cambria Math" w:hAnsi="Cambria Math"/>
                    <w:sz w:val="22"/>
                    <w:szCs w:val="22"/>
                  </w:rPr>
                  <m:t>=</m:t>
                </m:r>
                <m:nary>
                  <m:naryPr>
                    <m:chr m:val="∑"/>
                    <m:limLoc m:val="undOvr"/>
                    <m:subHide m:val="1"/>
                    <m:supHide m:val="1"/>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CF</m:t>
                        </m:r>
                      </m:e>
                      <m:sub>
                        <m:r>
                          <w:rPr>
                            <w:rFonts w:ascii="Cambria Math" w:hAnsi="Cambria Math"/>
                            <w:sz w:val="22"/>
                            <w:szCs w:val="22"/>
                          </w:rPr>
                          <m:t>S</m:t>
                        </m:r>
                      </m:sub>
                    </m:sSub>
                  </m:e>
                </m:nary>
              </m:oMath>
            </m:oMathPara>
          </w:p>
        </w:tc>
        <w:tc>
          <w:tcPr>
            <w:tcW w:w="3629" w:type="dxa"/>
            <w:vAlign w:val="center"/>
          </w:tcPr>
          <w:p w14:paraId="4796DD28" w14:textId="77777777" w:rsidR="004330FB" w:rsidRDefault="004330FB" w:rsidP="004330FB">
            <w:pPr>
              <w:pStyle w:val="Els-body-text"/>
              <w:jc w:val="right"/>
              <w:rPr>
                <w:lang w:val="fr-FR"/>
              </w:rPr>
            </w:pPr>
            <w:r>
              <w:rPr>
                <w:lang w:val="fr-FR"/>
              </w:rPr>
              <w:t>(5)</w:t>
            </w:r>
          </w:p>
        </w:tc>
      </w:tr>
    </w:tbl>
    <w:p w14:paraId="67D7465F" w14:textId="3F3C8AD7" w:rsidR="006F4DB7" w:rsidRDefault="00C26252" w:rsidP="008D2649">
      <w:pPr>
        <w:pStyle w:val="Els-body-text"/>
      </w:pPr>
      <w:r>
        <w:t xml:space="preserve">It is also possible, and even interesting, to compare </w:t>
      </w:r>
      <w:r w:rsidR="00B92F5C">
        <w:t>the carbon emission of each source</w:t>
      </w:r>
      <w:r w:rsidR="0075561F">
        <w:t xml:space="preserve">, </w:t>
      </w:r>
      <w:r w:rsidR="00C601B5">
        <w:t>within</w:t>
      </w:r>
      <w:r w:rsidR="0075561F">
        <w:t xml:space="preserve"> the same in</w:t>
      </w:r>
      <w:r w:rsidR="00311BDC">
        <w:t xml:space="preserve">frastructure, </w:t>
      </w:r>
      <w:r w:rsidR="00B40539">
        <w:t xml:space="preserve">with its total energy mix. This </w:t>
      </w:r>
      <w:r w:rsidR="00F35512">
        <w:t>allows to study and assess the sustainability of an infrastructure’s energy mix.</w:t>
      </w:r>
    </w:p>
    <w:p w14:paraId="6CB1FF07" w14:textId="45850CEA" w:rsidR="0008312E" w:rsidRPr="00A94774" w:rsidRDefault="0008312E" w:rsidP="0008312E">
      <w:pPr>
        <w:pStyle w:val="Els-1storder-head"/>
        <w:spacing w:after="120"/>
        <w:rPr>
          <w:lang w:val="en-GB"/>
        </w:rPr>
      </w:pPr>
      <w:r>
        <w:rPr>
          <w:lang w:val="en-GB"/>
        </w:rPr>
        <w:t xml:space="preserve">Application of the method to </w:t>
      </w:r>
      <w:r w:rsidR="00943715">
        <w:rPr>
          <w:lang w:val="en-GB"/>
        </w:rPr>
        <w:t xml:space="preserve">Paris </w:t>
      </w:r>
      <w:r>
        <w:rPr>
          <w:lang w:val="en-GB"/>
        </w:rPr>
        <w:t>Beauvais Airport and Oise, France</w:t>
      </w:r>
    </w:p>
    <w:p w14:paraId="0452A3B1" w14:textId="1ACD614B" w:rsidR="0008312E" w:rsidRDefault="007C2017" w:rsidP="0008312E">
      <w:pPr>
        <w:pStyle w:val="Els-body-text"/>
      </w:pPr>
      <w:r w:rsidRPr="007C2017">
        <w:t xml:space="preserve">The spatial perimeter on which this method was applied is the French administrative division of Oise, the Hauts-de-France region, with an annual energy consumption of approximately 12 TWh </w:t>
      </w:r>
      <w:r w:rsidR="00CF2EB2">
        <w:t>(</w:t>
      </w:r>
      <w:r w:rsidRPr="007C2017">
        <w:t>ODRE, 2023</w:t>
      </w:r>
      <w:r w:rsidR="00CF2EB2">
        <w:t>)</w:t>
      </w:r>
      <w:r w:rsidRPr="007C2017">
        <w:t>. The evaluation for its energy mix is centered on the Paris Beauvais Airport, for besides plane-related emissions and consumption, these infrastructures have important energy consumption.</w:t>
      </w:r>
    </w:p>
    <w:p w14:paraId="715E7F63" w14:textId="77777777" w:rsidR="0008312E" w:rsidRDefault="0008312E" w:rsidP="0008312E">
      <w:pPr>
        <w:pStyle w:val="Els-2ndorder-head"/>
      </w:pPr>
      <w:r>
        <w:t>Energy sources inventory</w:t>
      </w:r>
    </w:p>
    <w:p w14:paraId="1959ACE0" w14:textId="0DDCC6EA" w:rsidR="0008312E" w:rsidRDefault="00AB7C2E" w:rsidP="0008312E">
      <w:pPr>
        <w:pStyle w:val="Els-body-text"/>
      </w:pPr>
      <w:r w:rsidRPr="00AB7C2E">
        <w:t>The inventory of energy sources available in Oise is done with the French public databases from ORE and ODRE agencies, as well as the website data.gouv.fr</w:t>
      </w:r>
      <w:r w:rsidR="00A14438">
        <w:t xml:space="preserve"> </w:t>
      </w:r>
      <w:r w:rsidR="00CF2EB2">
        <w:t>(</w:t>
      </w:r>
      <w:r w:rsidR="00A14438">
        <w:t>ORE, 20</w:t>
      </w:r>
      <w:r w:rsidR="00943715">
        <w:t>23</w:t>
      </w:r>
      <w:r w:rsidR="00CF2EB2">
        <w:t>)</w:t>
      </w:r>
      <w:r w:rsidRPr="00AB7C2E">
        <w:t>. These databases regroup an important amount of energy-related data, and therefore provide information on gas and electricity-producing installations. From the larger scale of inventory, Oise contains over 4000 solar photovoltaic installations</w:t>
      </w:r>
      <w:r w:rsidR="0098778A">
        <w:t xml:space="preserve"> </w:t>
      </w:r>
      <w:r w:rsidR="009A0D8C">
        <w:t xml:space="preserve">regrouped in </w:t>
      </w:r>
      <w:r w:rsidR="0098778A">
        <w:t xml:space="preserve">aggregations </w:t>
      </w:r>
      <w:r w:rsidR="009301AE">
        <w:t>for</w:t>
      </w:r>
      <w:r w:rsidR="0066188F">
        <w:t xml:space="preserve"> </w:t>
      </w:r>
      <w:r w:rsidR="005F02B1">
        <w:t>individual setups</w:t>
      </w:r>
      <w:r w:rsidRPr="00AB7C2E">
        <w:t xml:space="preserve">, 71 wind turbine fields, </w:t>
      </w:r>
      <w:r w:rsidR="005F02B1">
        <w:t>9</w:t>
      </w:r>
      <w:r w:rsidRPr="00AB7C2E">
        <w:t xml:space="preserve"> bioenergy installations, </w:t>
      </w:r>
      <w:r w:rsidR="005F02B1">
        <w:t>9</w:t>
      </w:r>
      <w:r w:rsidRPr="00AB7C2E">
        <w:t xml:space="preserve"> thermal power plants and 24 biomethane injection points. No nuclear, hydroelectric, </w:t>
      </w:r>
      <w:proofErr w:type="gramStart"/>
      <w:r w:rsidRPr="00AB7C2E">
        <w:t>marine</w:t>
      </w:r>
      <w:proofErr w:type="gramEnd"/>
      <w:r w:rsidRPr="00AB7C2E">
        <w:t xml:space="preserve"> or geothermal power plants are present. There is also no production of natural gas in Oise. The </w:t>
      </w:r>
      <w:r w:rsidR="00943715">
        <w:t>smaller</w:t>
      </w:r>
      <w:r w:rsidR="00943715" w:rsidRPr="00AB7C2E">
        <w:t xml:space="preserve"> </w:t>
      </w:r>
      <w:r w:rsidRPr="00AB7C2E">
        <w:t>scale inventory showed that the airport is not connected to a heating network.</w:t>
      </w:r>
    </w:p>
    <w:p w14:paraId="2049DEE6" w14:textId="77777777" w:rsidR="0008312E" w:rsidRDefault="0008312E" w:rsidP="0008312E">
      <w:pPr>
        <w:pStyle w:val="Els-2ndorder-head"/>
      </w:pPr>
      <w:r>
        <w:t>Criteria evaluation and indicator calculation</w:t>
      </w:r>
    </w:p>
    <w:p w14:paraId="06FB5B33" w14:textId="77777777" w:rsidR="009846BE" w:rsidRPr="009846BE" w:rsidRDefault="009846BE" w:rsidP="009846BE">
      <w:pPr>
        <w:pStyle w:val="Els-body-text"/>
        <w:rPr>
          <w:lang w:val="en-GB"/>
        </w:rPr>
      </w:pPr>
      <w:r w:rsidRPr="009846BE">
        <w:rPr>
          <w:lang w:val="en-GB"/>
        </w:rPr>
        <w:t xml:space="preserve">For the criteria evaluation, critical values provided for each source by the inventory are annual energy production in kWh, energy sector and position. The latter allowed surrounding biome registration and distance evaluation. For simplification purposes, surface was estimated globally for wind turbines (0.03 ha per wind turbine), bioenergy and biomethane injection points (0.05 ha) and thermal power plants (20 ha per installation). Power losses in transport were imputed for each energy (Gas or Electricity) from national loss ratio, total </w:t>
      </w:r>
      <w:proofErr w:type="gramStart"/>
      <w:r w:rsidRPr="009846BE">
        <w:rPr>
          <w:lang w:val="en-GB"/>
        </w:rPr>
        <w:t>production</w:t>
      </w:r>
      <w:proofErr w:type="gramEnd"/>
      <w:r w:rsidRPr="009846BE">
        <w:rPr>
          <w:lang w:val="en-GB"/>
        </w:rPr>
        <w:t xml:space="preserve"> and total network length. If it is assumed that these values are not the most precise on exact losses in Oise, they can however be representative of a “national responsibility”.</w:t>
      </w:r>
    </w:p>
    <w:p w14:paraId="3353794F" w14:textId="6C1886D3" w:rsidR="009846BE" w:rsidRPr="009B2B37" w:rsidRDefault="009846BE" w:rsidP="009846BE">
      <w:pPr>
        <w:pStyle w:val="Els-body-text"/>
        <w:rPr>
          <w:lang w:val="en-GB"/>
        </w:rPr>
      </w:pPr>
      <w:r w:rsidRPr="009846BE">
        <w:rPr>
          <w:lang w:val="en-GB"/>
        </w:rPr>
        <w:t xml:space="preserve">This allows for the Energy sector, Urbanization and Distance carbon footprints to be calculated and compiled into the global indicator. </w:t>
      </w:r>
      <w:r w:rsidRPr="009B2B37">
        <w:rPr>
          <w:lang w:val="en-GB"/>
        </w:rPr>
        <w:t xml:space="preserve">Table 1 </w:t>
      </w:r>
      <w:r w:rsidR="005F4294" w:rsidRPr="009B2B37">
        <w:rPr>
          <w:lang w:val="en-GB"/>
        </w:rPr>
        <w:t>gathers</w:t>
      </w:r>
      <w:r w:rsidRPr="009B2B37">
        <w:rPr>
          <w:lang w:val="en-GB"/>
        </w:rPr>
        <w:t xml:space="preserve"> some examples for results</w:t>
      </w:r>
      <w:r w:rsidR="009B2B37" w:rsidRPr="009B2B37">
        <w:rPr>
          <w:lang w:val="en-GB"/>
        </w:rPr>
        <w:t>, expressed in tCO</w:t>
      </w:r>
      <w:r w:rsidR="009B2B37" w:rsidRPr="00B41A3E">
        <w:rPr>
          <w:vertAlign w:val="subscript"/>
          <w:lang w:val="en-GB"/>
        </w:rPr>
        <w:t>2</w:t>
      </w:r>
      <w:r w:rsidR="009B2B37">
        <w:rPr>
          <w:lang w:val="en-GB"/>
        </w:rPr>
        <w:t>eq</w:t>
      </w:r>
      <w:r w:rsidR="009B2B37" w:rsidRPr="009B2B37">
        <w:rPr>
          <w:lang w:val="en-GB"/>
        </w:rPr>
        <w:t xml:space="preserve"> p</w:t>
      </w:r>
      <w:r w:rsidR="009B2B37">
        <w:rPr>
          <w:lang w:val="en-GB"/>
        </w:rPr>
        <w:t>er year.</w:t>
      </w:r>
    </w:p>
    <w:p w14:paraId="10C30385" w14:textId="77777777" w:rsidR="008E5C70" w:rsidRPr="00B068D3" w:rsidRDefault="008E5C70" w:rsidP="009846BE">
      <w:pPr>
        <w:pStyle w:val="Els-body-text"/>
        <w:rPr>
          <w:sz w:val="18"/>
          <w:szCs w:val="18"/>
          <w:lang w:val="en-GB"/>
        </w:rPr>
      </w:pPr>
    </w:p>
    <w:tbl>
      <w:tblPr>
        <w:tblW w:w="7077" w:type="dxa"/>
        <w:tblCellMar>
          <w:left w:w="70" w:type="dxa"/>
          <w:right w:w="70" w:type="dxa"/>
        </w:tblCellMar>
        <w:tblLook w:val="04A0" w:firstRow="1" w:lastRow="0" w:firstColumn="1" w:lastColumn="0" w:noHBand="0" w:noVBand="1"/>
      </w:tblPr>
      <w:tblGrid>
        <w:gridCol w:w="523"/>
        <w:gridCol w:w="1311"/>
        <w:gridCol w:w="855"/>
        <w:gridCol w:w="1141"/>
        <w:gridCol w:w="882"/>
        <w:gridCol w:w="645"/>
        <w:gridCol w:w="744"/>
        <w:gridCol w:w="976"/>
      </w:tblGrid>
      <w:tr w:rsidR="005F4294" w:rsidRPr="004421BA" w14:paraId="04726B9F" w14:textId="77777777" w:rsidTr="004421BA">
        <w:trPr>
          <w:trHeight w:val="290"/>
        </w:trPr>
        <w:tc>
          <w:tcPr>
            <w:tcW w:w="523" w:type="dxa"/>
            <w:tcBorders>
              <w:top w:val="single" w:sz="4" w:space="0" w:color="auto"/>
              <w:left w:val="single" w:sz="4" w:space="0" w:color="auto"/>
              <w:bottom w:val="single" w:sz="4" w:space="0" w:color="auto"/>
              <w:right w:val="nil"/>
            </w:tcBorders>
            <w:shd w:val="clear" w:color="4472C4" w:fill="4472C4"/>
            <w:noWrap/>
            <w:vAlign w:val="bottom"/>
            <w:hideMark/>
          </w:tcPr>
          <w:p w14:paraId="71C2EBE6" w14:textId="77777777" w:rsidR="005F4294" w:rsidRPr="004421BA" w:rsidRDefault="005F4294" w:rsidP="004C1953">
            <w:pPr>
              <w:jc w:val="center"/>
              <w:rPr>
                <w:b/>
                <w:bCs/>
                <w:color w:val="FFFFFF"/>
                <w:lang w:val="fr-FR" w:eastAsia="fr-FR"/>
              </w:rPr>
            </w:pPr>
            <w:r w:rsidRPr="004421BA">
              <w:rPr>
                <w:b/>
                <w:bCs/>
                <w:color w:val="FFFFFF"/>
                <w:lang w:val="fr-FR" w:eastAsia="fr-FR"/>
              </w:rPr>
              <w:lastRenderedPageBreak/>
              <w:t>ID</w:t>
            </w:r>
          </w:p>
        </w:tc>
        <w:tc>
          <w:tcPr>
            <w:tcW w:w="1311" w:type="dxa"/>
            <w:tcBorders>
              <w:top w:val="single" w:sz="4" w:space="0" w:color="auto"/>
              <w:left w:val="nil"/>
              <w:bottom w:val="single" w:sz="4" w:space="0" w:color="auto"/>
              <w:right w:val="nil"/>
            </w:tcBorders>
            <w:shd w:val="clear" w:color="4472C4" w:fill="4472C4"/>
            <w:noWrap/>
            <w:vAlign w:val="bottom"/>
            <w:hideMark/>
          </w:tcPr>
          <w:p w14:paraId="5DE0BC9B" w14:textId="77777777" w:rsidR="005F4294" w:rsidRPr="004421BA" w:rsidRDefault="005F4294" w:rsidP="004C1953">
            <w:pPr>
              <w:jc w:val="center"/>
              <w:rPr>
                <w:b/>
                <w:bCs/>
                <w:color w:val="FFFFFF"/>
                <w:lang w:val="fr-FR" w:eastAsia="fr-FR"/>
              </w:rPr>
            </w:pPr>
            <w:r w:rsidRPr="004421BA">
              <w:rPr>
                <w:b/>
                <w:bCs/>
                <w:color w:val="FFFFFF"/>
                <w:lang w:val="fr-FR" w:eastAsia="fr-FR"/>
              </w:rPr>
              <w:t>Name</w:t>
            </w:r>
          </w:p>
        </w:tc>
        <w:tc>
          <w:tcPr>
            <w:tcW w:w="855" w:type="dxa"/>
            <w:tcBorders>
              <w:top w:val="single" w:sz="4" w:space="0" w:color="auto"/>
              <w:left w:val="nil"/>
              <w:bottom w:val="single" w:sz="4" w:space="0" w:color="auto"/>
              <w:right w:val="nil"/>
            </w:tcBorders>
            <w:shd w:val="clear" w:color="4472C4" w:fill="4472C4"/>
            <w:noWrap/>
            <w:vAlign w:val="bottom"/>
            <w:hideMark/>
          </w:tcPr>
          <w:p w14:paraId="11B06F70" w14:textId="77777777" w:rsidR="005F4294" w:rsidRPr="004421BA" w:rsidRDefault="005F4294" w:rsidP="004C1953">
            <w:pPr>
              <w:jc w:val="center"/>
              <w:rPr>
                <w:b/>
                <w:bCs/>
                <w:color w:val="FFFFFF"/>
                <w:lang w:val="fr-FR" w:eastAsia="fr-FR"/>
              </w:rPr>
            </w:pPr>
            <w:r w:rsidRPr="004421BA">
              <w:rPr>
                <w:b/>
                <w:bCs/>
                <w:color w:val="FFFFFF"/>
                <w:lang w:val="fr-FR" w:eastAsia="fr-FR"/>
              </w:rPr>
              <w:t>Energy</w:t>
            </w:r>
          </w:p>
        </w:tc>
        <w:tc>
          <w:tcPr>
            <w:tcW w:w="1141" w:type="dxa"/>
            <w:tcBorders>
              <w:top w:val="single" w:sz="4" w:space="0" w:color="auto"/>
              <w:left w:val="nil"/>
              <w:bottom w:val="single" w:sz="4" w:space="0" w:color="auto"/>
              <w:right w:val="nil"/>
            </w:tcBorders>
            <w:shd w:val="clear" w:color="4472C4" w:fill="4472C4"/>
            <w:noWrap/>
            <w:vAlign w:val="bottom"/>
            <w:hideMark/>
          </w:tcPr>
          <w:p w14:paraId="38AFC918" w14:textId="77777777" w:rsidR="005F4294" w:rsidRPr="004421BA" w:rsidRDefault="005F4294" w:rsidP="004C1953">
            <w:pPr>
              <w:jc w:val="center"/>
              <w:rPr>
                <w:b/>
                <w:bCs/>
                <w:color w:val="FFFFFF"/>
                <w:lang w:val="fr-FR" w:eastAsia="fr-FR"/>
              </w:rPr>
            </w:pPr>
            <w:proofErr w:type="spellStart"/>
            <w:r w:rsidRPr="004421BA">
              <w:rPr>
                <w:b/>
                <w:bCs/>
                <w:color w:val="FFFFFF"/>
                <w:lang w:val="fr-FR" w:eastAsia="fr-FR"/>
              </w:rPr>
              <w:t>Sector</w:t>
            </w:r>
            <w:proofErr w:type="spellEnd"/>
          </w:p>
        </w:tc>
        <w:tc>
          <w:tcPr>
            <w:tcW w:w="882" w:type="dxa"/>
            <w:tcBorders>
              <w:top w:val="single" w:sz="4" w:space="0" w:color="auto"/>
              <w:left w:val="nil"/>
              <w:bottom w:val="single" w:sz="4" w:space="0" w:color="auto"/>
              <w:right w:val="nil"/>
            </w:tcBorders>
            <w:shd w:val="clear" w:color="4472C4" w:fill="4472C4"/>
            <w:noWrap/>
            <w:vAlign w:val="bottom"/>
            <w:hideMark/>
          </w:tcPr>
          <w:p w14:paraId="4AC27A68" w14:textId="77777777" w:rsidR="005F4294" w:rsidRPr="004421BA" w:rsidRDefault="005F4294" w:rsidP="004C1953">
            <w:pPr>
              <w:jc w:val="center"/>
              <w:rPr>
                <w:b/>
                <w:bCs/>
                <w:color w:val="FFFFFF"/>
                <w:lang w:val="fr-FR" w:eastAsia="fr-FR"/>
              </w:rPr>
            </w:pPr>
            <w:r w:rsidRPr="004421BA">
              <w:rPr>
                <w:b/>
                <w:bCs/>
                <w:color w:val="FFFFFF"/>
                <w:lang w:val="fr-FR" w:eastAsia="fr-FR"/>
              </w:rPr>
              <w:t>CF</w:t>
            </w:r>
            <w:r w:rsidRPr="004421BA">
              <w:rPr>
                <w:b/>
                <w:bCs/>
                <w:color w:val="FFFFFF"/>
                <w:vertAlign w:val="subscript"/>
                <w:lang w:val="fr-FR" w:eastAsia="fr-FR"/>
              </w:rPr>
              <w:t>ES</w:t>
            </w:r>
          </w:p>
        </w:tc>
        <w:tc>
          <w:tcPr>
            <w:tcW w:w="645" w:type="dxa"/>
            <w:tcBorders>
              <w:top w:val="single" w:sz="4" w:space="0" w:color="auto"/>
              <w:left w:val="nil"/>
              <w:bottom w:val="single" w:sz="4" w:space="0" w:color="auto"/>
              <w:right w:val="nil"/>
            </w:tcBorders>
            <w:shd w:val="clear" w:color="4472C4" w:fill="4472C4"/>
            <w:noWrap/>
            <w:vAlign w:val="bottom"/>
            <w:hideMark/>
          </w:tcPr>
          <w:p w14:paraId="21DEB5B5" w14:textId="77777777" w:rsidR="005F4294" w:rsidRPr="004421BA" w:rsidRDefault="005F4294" w:rsidP="004C1953">
            <w:pPr>
              <w:jc w:val="center"/>
              <w:rPr>
                <w:b/>
                <w:bCs/>
                <w:color w:val="FFFFFF"/>
                <w:lang w:val="fr-FR" w:eastAsia="fr-FR"/>
              </w:rPr>
            </w:pPr>
            <w:r w:rsidRPr="004421BA">
              <w:rPr>
                <w:b/>
                <w:bCs/>
                <w:color w:val="FFFFFF"/>
                <w:lang w:val="fr-FR" w:eastAsia="fr-FR"/>
              </w:rPr>
              <w:t>CF</w:t>
            </w:r>
            <w:r w:rsidRPr="004421BA">
              <w:rPr>
                <w:b/>
                <w:bCs/>
                <w:color w:val="FFFFFF"/>
                <w:vertAlign w:val="subscript"/>
                <w:lang w:val="fr-FR" w:eastAsia="fr-FR"/>
              </w:rPr>
              <w:t>U</w:t>
            </w:r>
          </w:p>
        </w:tc>
        <w:tc>
          <w:tcPr>
            <w:tcW w:w="744" w:type="dxa"/>
            <w:tcBorders>
              <w:top w:val="single" w:sz="4" w:space="0" w:color="auto"/>
              <w:left w:val="nil"/>
              <w:bottom w:val="single" w:sz="4" w:space="0" w:color="auto"/>
              <w:right w:val="nil"/>
            </w:tcBorders>
            <w:shd w:val="clear" w:color="4472C4" w:fill="4472C4"/>
            <w:noWrap/>
            <w:vAlign w:val="bottom"/>
            <w:hideMark/>
          </w:tcPr>
          <w:p w14:paraId="77EDB6FE" w14:textId="77777777" w:rsidR="005F4294" w:rsidRPr="004421BA" w:rsidRDefault="005F4294" w:rsidP="004C1953">
            <w:pPr>
              <w:jc w:val="center"/>
              <w:rPr>
                <w:b/>
                <w:bCs/>
                <w:color w:val="FFFFFF"/>
                <w:lang w:val="fr-FR" w:eastAsia="fr-FR"/>
              </w:rPr>
            </w:pPr>
            <w:r w:rsidRPr="004421BA">
              <w:rPr>
                <w:b/>
                <w:bCs/>
                <w:color w:val="FFFFFF"/>
                <w:lang w:val="fr-FR" w:eastAsia="fr-FR"/>
              </w:rPr>
              <w:t>CF</w:t>
            </w:r>
            <w:r w:rsidRPr="004421BA">
              <w:rPr>
                <w:b/>
                <w:bCs/>
                <w:color w:val="FFFFFF"/>
                <w:vertAlign w:val="subscript"/>
                <w:lang w:val="fr-FR" w:eastAsia="fr-FR"/>
              </w:rPr>
              <w:t>D</w:t>
            </w:r>
          </w:p>
        </w:tc>
        <w:tc>
          <w:tcPr>
            <w:tcW w:w="976" w:type="dxa"/>
            <w:tcBorders>
              <w:top w:val="single" w:sz="4" w:space="0" w:color="auto"/>
              <w:left w:val="nil"/>
              <w:bottom w:val="single" w:sz="4" w:space="0" w:color="auto"/>
              <w:right w:val="single" w:sz="4" w:space="0" w:color="auto"/>
            </w:tcBorders>
            <w:shd w:val="clear" w:color="4472C4" w:fill="4472C4"/>
            <w:noWrap/>
            <w:vAlign w:val="bottom"/>
            <w:hideMark/>
          </w:tcPr>
          <w:p w14:paraId="75923118" w14:textId="77777777" w:rsidR="005F4294" w:rsidRPr="004421BA" w:rsidRDefault="005F4294" w:rsidP="004C1953">
            <w:pPr>
              <w:jc w:val="center"/>
              <w:rPr>
                <w:b/>
                <w:bCs/>
                <w:color w:val="FFFFFF"/>
                <w:lang w:val="fr-FR" w:eastAsia="fr-FR"/>
              </w:rPr>
            </w:pPr>
            <w:r w:rsidRPr="004421BA">
              <w:rPr>
                <w:b/>
                <w:bCs/>
                <w:color w:val="FFFFFF"/>
                <w:lang w:val="fr-FR" w:eastAsia="fr-FR"/>
              </w:rPr>
              <w:t>CF</w:t>
            </w:r>
            <w:r w:rsidRPr="004421BA">
              <w:rPr>
                <w:b/>
                <w:bCs/>
                <w:color w:val="FFFFFF"/>
                <w:vertAlign w:val="subscript"/>
                <w:lang w:val="fr-FR" w:eastAsia="fr-FR"/>
              </w:rPr>
              <w:t>S</w:t>
            </w:r>
          </w:p>
        </w:tc>
      </w:tr>
      <w:tr w:rsidR="005F4294" w:rsidRPr="004421BA" w14:paraId="623FD2D6" w14:textId="77777777" w:rsidTr="004421BA">
        <w:trPr>
          <w:trHeight w:val="290"/>
        </w:trPr>
        <w:tc>
          <w:tcPr>
            <w:tcW w:w="523" w:type="dxa"/>
            <w:tcBorders>
              <w:top w:val="single" w:sz="4" w:space="0" w:color="auto"/>
              <w:left w:val="single" w:sz="4" w:space="0" w:color="auto"/>
              <w:bottom w:val="single" w:sz="4" w:space="0" w:color="8EA9DB"/>
              <w:right w:val="nil"/>
            </w:tcBorders>
            <w:shd w:val="clear" w:color="D9E1F2" w:fill="D9E1F2"/>
            <w:noWrap/>
            <w:vAlign w:val="bottom"/>
            <w:hideMark/>
          </w:tcPr>
          <w:p w14:paraId="349756A7" w14:textId="77777777" w:rsidR="005F4294" w:rsidRPr="004421BA" w:rsidRDefault="005F4294" w:rsidP="004C1953">
            <w:pPr>
              <w:jc w:val="center"/>
              <w:rPr>
                <w:color w:val="000000"/>
                <w:lang w:val="fr-FR" w:eastAsia="fr-FR"/>
              </w:rPr>
            </w:pPr>
            <w:r w:rsidRPr="004421BA">
              <w:rPr>
                <w:color w:val="000000"/>
                <w:lang w:val="fr-FR" w:eastAsia="fr-FR"/>
              </w:rPr>
              <w:t>5</w:t>
            </w:r>
          </w:p>
        </w:tc>
        <w:tc>
          <w:tcPr>
            <w:tcW w:w="1311" w:type="dxa"/>
            <w:tcBorders>
              <w:top w:val="single" w:sz="4" w:space="0" w:color="auto"/>
              <w:left w:val="nil"/>
              <w:bottom w:val="single" w:sz="4" w:space="0" w:color="8EA9DB"/>
              <w:right w:val="nil"/>
            </w:tcBorders>
            <w:shd w:val="clear" w:color="D9E1F2" w:fill="D9E1F2"/>
            <w:noWrap/>
            <w:vAlign w:val="bottom"/>
            <w:hideMark/>
          </w:tcPr>
          <w:p w14:paraId="2CE41EBC" w14:textId="77777777" w:rsidR="005F4294" w:rsidRPr="004421BA" w:rsidRDefault="005F4294" w:rsidP="004C1953">
            <w:pPr>
              <w:jc w:val="center"/>
              <w:rPr>
                <w:color w:val="000000"/>
                <w:lang w:val="fr-FR" w:eastAsia="fr-FR"/>
              </w:rPr>
            </w:pPr>
            <w:r w:rsidRPr="004421BA">
              <w:rPr>
                <w:color w:val="000000"/>
                <w:lang w:val="fr-FR" w:eastAsia="fr-FR"/>
              </w:rPr>
              <w:t>BOISSY BIO</w:t>
            </w:r>
          </w:p>
        </w:tc>
        <w:tc>
          <w:tcPr>
            <w:tcW w:w="855" w:type="dxa"/>
            <w:tcBorders>
              <w:top w:val="single" w:sz="4" w:space="0" w:color="auto"/>
              <w:left w:val="nil"/>
              <w:bottom w:val="single" w:sz="4" w:space="0" w:color="8EA9DB"/>
              <w:right w:val="nil"/>
            </w:tcBorders>
            <w:shd w:val="clear" w:color="D9E1F2" w:fill="D9E1F2"/>
            <w:noWrap/>
            <w:vAlign w:val="bottom"/>
            <w:hideMark/>
          </w:tcPr>
          <w:p w14:paraId="467BD283" w14:textId="77777777" w:rsidR="005F4294" w:rsidRPr="004421BA" w:rsidRDefault="005F4294" w:rsidP="004C1953">
            <w:pPr>
              <w:jc w:val="center"/>
              <w:rPr>
                <w:color w:val="000000"/>
                <w:lang w:val="fr-FR" w:eastAsia="fr-FR"/>
              </w:rPr>
            </w:pPr>
            <w:r w:rsidRPr="004421BA">
              <w:rPr>
                <w:color w:val="000000"/>
                <w:lang w:val="fr-FR" w:eastAsia="fr-FR"/>
              </w:rPr>
              <w:t>Gas</w:t>
            </w:r>
          </w:p>
        </w:tc>
        <w:tc>
          <w:tcPr>
            <w:tcW w:w="1141" w:type="dxa"/>
            <w:tcBorders>
              <w:top w:val="single" w:sz="4" w:space="0" w:color="auto"/>
              <w:left w:val="nil"/>
              <w:bottom w:val="single" w:sz="4" w:space="0" w:color="8EA9DB"/>
              <w:right w:val="nil"/>
            </w:tcBorders>
            <w:shd w:val="clear" w:color="D9E1F2" w:fill="D9E1F2"/>
            <w:noWrap/>
            <w:vAlign w:val="bottom"/>
            <w:hideMark/>
          </w:tcPr>
          <w:p w14:paraId="1747B89E" w14:textId="77777777" w:rsidR="005F4294" w:rsidRPr="004421BA" w:rsidRDefault="005F4294" w:rsidP="004C1953">
            <w:pPr>
              <w:jc w:val="center"/>
              <w:rPr>
                <w:color w:val="000000"/>
                <w:lang w:val="fr-FR" w:eastAsia="fr-FR"/>
              </w:rPr>
            </w:pPr>
            <w:proofErr w:type="spellStart"/>
            <w:r w:rsidRPr="004421BA">
              <w:rPr>
                <w:color w:val="000000"/>
                <w:lang w:val="fr-FR" w:eastAsia="fr-FR"/>
              </w:rPr>
              <w:t>Biomethane</w:t>
            </w:r>
            <w:proofErr w:type="spellEnd"/>
          </w:p>
        </w:tc>
        <w:tc>
          <w:tcPr>
            <w:tcW w:w="882" w:type="dxa"/>
            <w:tcBorders>
              <w:top w:val="single" w:sz="4" w:space="0" w:color="auto"/>
              <w:left w:val="nil"/>
              <w:bottom w:val="single" w:sz="4" w:space="0" w:color="8EA9DB"/>
              <w:right w:val="nil"/>
            </w:tcBorders>
            <w:shd w:val="clear" w:color="D9E1F2" w:fill="D9E1F2"/>
            <w:noWrap/>
            <w:vAlign w:val="bottom"/>
            <w:hideMark/>
          </w:tcPr>
          <w:p w14:paraId="358254C0" w14:textId="017EA6E3" w:rsidR="005F4294" w:rsidRPr="004421BA" w:rsidRDefault="005F4294" w:rsidP="004C1953">
            <w:pPr>
              <w:jc w:val="center"/>
              <w:rPr>
                <w:color w:val="000000"/>
                <w:lang w:val="fr-FR" w:eastAsia="fr-FR"/>
              </w:rPr>
            </w:pPr>
            <w:r w:rsidRPr="004421BA">
              <w:rPr>
                <w:color w:val="000000"/>
                <w:lang w:val="fr-FR" w:eastAsia="fr-FR"/>
              </w:rPr>
              <w:t>878</w:t>
            </w:r>
            <w:r w:rsidR="00D25A3C" w:rsidRPr="004421BA">
              <w:rPr>
                <w:color w:val="000000"/>
                <w:lang w:val="fr-FR" w:eastAsia="fr-FR"/>
              </w:rPr>
              <w:t>.</w:t>
            </w:r>
            <w:r w:rsidRPr="004421BA">
              <w:rPr>
                <w:color w:val="000000"/>
                <w:lang w:val="fr-FR" w:eastAsia="fr-FR"/>
              </w:rPr>
              <w:t>42</w:t>
            </w:r>
          </w:p>
        </w:tc>
        <w:tc>
          <w:tcPr>
            <w:tcW w:w="645" w:type="dxa"/>
            <w:tcBorders>
              <w:top w:val="single" w:sz="4" w:space="0" w:color="auto"/>
              <w:left w:val="nil"/>
              <w:bottom w:val="single" w:sz="4" w:space="0" w:color="8EA9DB"/>
              <w:right w:val="nil"/>
            </w:tcBorders>
            <w:shd w:val="clear" w:color="D9E1F2" w:fill="D9E1F2"/>
            <w:noWrap/>
            <w:vAlign w:val="bottom"/>
            <w:hideMark/>
          </w:tcPr>
          <w:p w14:paraId="63FA0AF0" w14:textId="50909681" w:rsidR="005F4294" w:rsidRPr="004421BA" w:rsidRDefault="005F4294" w:rsidP="004C1953">
            <w:pPr>
              <w:jc w:val="center"/>
              <w:rPr>
                <w:color w:val="000000"/>
                <w:lang w:val="fr-FR" w:eastAsia="fr-FR"/>
              </w:rPr>
            </w:pPr>
            <w:r w:rsidRPr="004421BA">
              <w:rPr>
                <w:color w:val="000000"/>
                <w:lang w:val="fr-FR" w:eastAsia="fr-FR"/>
              </w:rPr>
              <w:t>0</w:t>
            </w:r>
            <w:r w:rsidR="00D25A3C" w:rsidRPr="004421BA">
              <w:rPr>
                <w:color w:val="000000"/>
                <w:lang w:val="fr-FR" w:eastAsia="fr-FR"/>
              </w:rPr>
              <w:t>.</w:t>
            </w:r>
            <w:r w:rsidRPr="004421BA">
              <w:rPr>
                <w:color w:val="000000"/>
                <w:lang w:val="fr-FR" w:eastAsia="fr-FR"/>
              </w:rPr>
              <w:t>09</w:t>
            </w:r>
          </w:p>
        </w:tc>
        <w:tc>
          <w:tcPr>
            <w:tcW w:w="744" w:type="dxa"/>
            <w:tcBorders>
              <w:top w:val="single" w:sz="4" w:space="0" w:color="auto"/>
              <w:left w:val="nil"/>
              <w:bottom w:val="single" w:sz="4" w:space="0" w:color="8EA9DB"/>
              <w:right w:val="nil"/>
            </w:tcBorders>
            <w:shd w:val="clear" w:color="D9E1F2" w:fill="D9E1F2"/>
            <w:noWrap/>
            <w:vAlign w:val="bottom"/>
            <w:hideMark/>
          </w:tcPr>
          <w:p w14:paraId="0A827414" w14:textId="2549BA13" w:rsidR="005F4294" w:rsidRPr="004421BA" w:rsidRDefault="005F4294" w:rsidP="004C1953">
            <w:pPr>
              <w:jc w:val="center"/>
              <w:rPr>
                <w:color w:val="000000"/>
                <w:lang w:val="fr-FR" w:eastAsia="fr-FR"/>
              </w:rPr>
            </w:pPr>
            <w:r w:rsidRPr="004421BA">
              <w:rPr>
                <w:color w:val="000000"/>
                <w:lang w:val="fr-FR" w:eastAsia="fr-FR"/>
              </w:rPr>
              <w:t>1</w:t>
            </w:r>
            <w:r w:rsidR="00D25A3C" w:rsidRPr="004421BA">
              <w:rPr>
                <w:color w:val="000000"/>
                <w:lang w:val="fr-FR" w:eastAsia="fr-FR"/>
              </w:rPr>
              <w:t>.</w:t>
            </w:r>
            <w:r w:rsidRPr="004421BA">
              <w:rPr>
                <w:color w:val="000000"/>
                <w:lang w:val="fr-FR" w:eastAsia="fr-FR"/>
              </w:rPr>
              <w:t>35</w:t>
            </w:r>
          </w:p>
        </w:tc>
        <w:tc>
          <w:tcPr>
            <w:tcW w:w="976" w:type="dxa"/>
            <w:tcBorders>
              <w:top w:val="single" w:sz="4" w:space="0" w:color="auto"/>
              <w:left w:val="nil"/>
              <w:bottom w:val="single" w:sz="4" w:space="0" w:color="8EA9DB"/>
              <w:right w:val="single" w:sz="4" w:space="0" w:color="auto"/>
            </w:tcBorders>
            <w:shd w:val="clear" w:color="D9E1F2" w:fill="D9E1F2"/>
            <w:noWrap/>
            <w:vAlign w:val="bottom"/>
            <w:hideMark/>
          </w:tcPr>
          <w:p w14:paraId="49ABE367" w14:textId="14051955" w:rsidR="005F4294" w:rsidRPr="004421BA" w:rsidRDefault="005F4294" w:rsidP="004C1953">
            <w:pPr>
              <w:jc w:val="center"/>
              <w:rPr>
                <w:b/>
                <w:bCs/>
                <w:color w:val="000000"/>
                <w:lang w:val="fr-FR" w:eastAsia="fr-FR"/>
              </w:rPr>
            </w:pPr>
            <w:r w:rsidRPr="004421BA">
              <w:rPr>
                <w:b/>
                <w:bCs/>
                <w:color w:val="000000"/>
                <w:lang w:val="fr-FR" w:eastAsia="fr-FR"/>
              </w:rPr>
              <w:t>879</w:t>
            </w:r>
            <w:r w:rsidR="001379CB" w:rsidRPr="004421BA">
              <w:rPr>
                <w:b/>
                <w:bCs/>
                <w:color w:val="000000"/>
                <w:lang w:val="fr-FR" w:eastAsia="fr-FR"/>
              </w:rPr>
              <w:t>.</w:t>
            </w:r>
            <w:r w:rsidRPr="004421BA">
              <w:rPr>
                <w:b/>
                <w:bCs/>
                <w:color w:val="000000"/>
                <w:lang w:val="fr-FR" w:eastAsia="fr-FR"/>
              </w:rPr>
              <w:t>86</w:t>
            </w:r>
          </w:p>
        </w:tc>
      </w:tr>
      <w:tr w:rsidR="00D25A3C" w:rsidRPr="004421BA" w14:paraId="64AA7AE1" w14:textId="77777777" w:rsidTr="004421BA">
        <w:trPr>
          <w:trHeight w:val="290"/>
        </w:trPr>
        <w:tc>
          <w:tcPr>
            <w:tcW w:w="523" w:type="dxa"/>
            <w:tcBorders>
              <w:top w:val="single" w:sz="4" w:space="0" w:color="8EA9DB"/>
              <w:left w:val="single" w:sz="4" w:space="0" w:color="auto"/>
              <w:bottom w:val="single" w:sz="4" w:space="0" w:color="8EA9DB"/>
              <w:right w:val="nil"/>
            </w:tcBorders>
            <w:shd w:val="clear" w:color="auto" w:fill="auto"/>
            <w:noWrap/>
            <w:vAlign w:val="bottom"/>
            <w:hideMark/>
          </w:tcPr>
          <w:p w14:paraId="45885593" w14:textId="77777777" w:rsidR="005F4294" w:rsidRPr="004421BA" w:rsidRDefault="005F4294" w:rsidP="004C1953">
            <w:pPr>
              <w:jc w:val="center"/>
              <w:rPr>
                <w:color w:val="000000"/>
                <w:lang w:val="fr-FR" w:eastAsia="fr-FR"/>
              </w:rPr>
            </w:pPr>
            <w:r w:rsidRPr="004421BA">
              <w:rPr>
                <w:color w:val="000000"/>
                <w:lang w:val="fr-FR" w:eastAsia="fr-FR"/>
              </w:rPr>
              <w:t>86</w:t>
            </w:r>
          </w:p>
        </w:tc>
        <w:tc>
          <w:tcPr>
            <w:tcW w:w="1311" w:type="dxa"/>
            <w:tcBorders>
              <w:top w:val="single" w:sz="4" w:space="0" w:color="8EA9DB"/>
              <w:left w:val="nil"/>
              <w:bottom w:val="single" w:sz="4" w:space="0" w:color="8EA9DB"/>
              <w:right w:val="nil"/>
            </w:tcBorders>
            <w:shd w:val="clear" w:color="auto" w:fill="auto"/>
            <w:noWrap/>
            <w:vAlign w:val="bottom"/>
            <w:hideMark/>
          </w:tcPr>
          <w:p w14:paraId="1A47CF95" w14:textId="77777777" w:rsidR="005F4294" w:rsidRPr="004421BA" w:rsidRDefault="005F4294" w:rsidP="004C1953">
            <w:pPr>
              <w:jc w:val="center"/>
              <w:rPr>
                <w:color w:val="000000"/>
                <w:lang w:val="fr-FR" w:eastAsia="fr-FR"/>
              </w:rPr>
            </w:pPr>
            <w:proofErr w:type="spellStart"/>
            <w:r w:rsidRPr="004421BA">
              <w:rPr>
                <w:color w:val="000000"/>
                <w:lang w:val="fr-FR" w:eastAsia="fr-FR"/>
              </w:rPr>
              <w:t>Confid</w:t>
            </w:r>
            <w:proofErr w:type="spellEnd"/>
          </w:p>
        </w:tc>
        <w:tc>
          <w:tcPr>
            <w:tcW w:w="855" w:type="dxa"/>
            <w:tcBorders>
              <w:top w:val="single" w:sz="4" w:space="0" w:color="8EA9DB"/>
              <w:left w:val="nil"/>
              <w:bottom w:val="single" w:sz="4" w:space="0" w:color="8EA9DB"/>
              <w:right w:val="nil"/>
            </w:tcBorders>
            <w:shd w:val="clear" w:color="auto" w:fill="auto"/>
            <w:noWrap/>
            <w:vAlign w:val="bottom"/>
            <w:hideMark/>
          </w:tcPr>
          <w:p w14:paraId="4FF33F2D" w14:textId="77777777" w:rsidR="005F4294" w:rsidRPr="004421BA" w:rsidRDefault="005F4294" w:rsidP="004C1953">
            <w:pPr>
              <w:jc w:val="center"/>
              <w:rPr>
                <w:color w:val="000000"/>
                <w:lang w:val="fr-FR" w:eastAsia="fr-FR"/>
              </w:rPr>
            </w:pPr>
            <w:r w:rsidRPr="004421BA">
              <w:rPr>
                <w:color w:val="000000"/>
                <w:lang w:val="fr-FR" w:eastAsia="fr-FR"/>
              </w:rPr>
              <w:t>Elec</w:t>
            </w:r>
          </w:p>
        </w:tc>
        <w:tc>
          <w:tcPr>
            <w:tcW w:w="1141" w:type="dxa"/>
            <w:tcBorders>
              <w:top w:val="single" w:sz="4" w:space="0" w:color="8EA9DB"/>
              <w:left w:val="nil"/>
              <w:bottom w:val="single" w:sz="4" w:space="0" w:color="8EA9DB"/>
              <w:right w:val="nil"/>
            </w:tcBorders>
            <w:shd w:val="clear" w:color="auto" w:fill="auto"/>
            <w:noWrap/>
            <w:vAlign w:val="bottom"/>
            <w:hideMark/>
          </w:tcPr>
          <w:p w14:paraId="41CB7617" w14:textId="77777777" w:rsidR="005F4294" w:rsidRPr="004421BA" w:rsidRDefault="005F4294" w:rsidP="004C1953">
            <w:pPr>
              <w:jc w:val="center"/>
              <w:rPr>
                <w:color w:val="000000"/>
                <w:lang w:val="fr-FR" w:eastAsia="fr-FR"/>
              </w:rPr>
            </w:pPr>
            <w:r w:rsidRPr="004421BA">
              <w:rPr>
                <w:color w:val="000000"/>
                <w:lang w:val="fr-FR" w:eastAsia="fr-FR"/>
              </w:rPr>
              <w:t>Thermal</w:t>
            </w:r>
          </w:p>
        </w:tc>
        <w:tc>
          <w:tcPr>
            <w:tcW w:w="882" w:type="dxa"/>
            <w:tcBorders>
              <w:top w:val="single" w:sz="4" w:space="0" w:color="8EA9DB"/>
              <w:left w:val="nil"/>
              <w:bottom w:val="single" w:sz="4" w:space="0" w:color="8EA9DB"/>
              <w:right w:val="nil"/>
            </w:tcBorders>
            <w:shd w:val="clear" w:color="auto" w:fill="auto"/>
            <w:noWrap/>
            <w:vAlign w:val="bottom"/>
            <w:hideMark/>
          </w:tcPr>
          <w:p w14:paraId="357E3AE8" w14:textId="40923A23" w:rsidR="005F4294" w:rsidRPr="004421BA" w:rsidRDefault="005F4294" w:rsidP="004C1953">
            <w:pPr>
              <w:jc w:val="center"/>
              <w:rPr>
                <w:color w:val="000000"/>
                <w:lang w:val="fr-FR" w:eastAsia="fr-FR"/>
              </w:rPr>
            </w:pPr>
            <w:r w:rsidRPr="004421BA">
              <w:rPr>
                <w:color w:val="000000"/>
                <w:lang w:val="fr-FR" w:eastAsia="fr-FR"/>
              </w:rPr>
              <w:t>5</w:t>
            </w:r>
            <w:r w:rsidR="00943715">
              <w:rPr>
                <w:color w:val="000000"/>
                <w:lang w:val="fr-FR" w:eastAsia="fr-FR"/>
              </w:rPr>
              <w:t>,</w:t>
            </w:r>
            <w:r w:rsidRPr="004421BA">
              <w:rPr>
                <w:color w:val="000000"/>
                <w:lang w:val="fr-FR" w:eastAsia="fr-FR"/>
              </w:rPr>
              <w:t>080</w:t>
            </w:r>
            <w:r w:rsidR="00D25A3C" w:rsidRPr="004421BA">
              <w:rPr>
                <w:color w:val="000000"/>
                <w:lang w:val="fr-FR" w:eastAsia="fr-FR"/>
              </w:rPr>
              <w:t>.</w:t>
            </w:r>
            <w:r w:rsidRPr="004421BA">
              <w:rPr>
                <w:color w:val="000000"/>
                <w:lang w:val="fr-FR" w:eastAsia="fr-FR"/>
              </w:rPr>
              <w:t>01</w:t>
            </w:r>
          </w:p>
        </w:tc>
        <w:tc>
          <w:tcPr>
            <w:tcW w:w="645" w:type="dxa"/>
            <w:tcBorders>
              <w:top w:val="single" w:sz="4" w:space="0" w:color="8EA9DB"/>
              <w:left w:val="nil"/>
              <w:bottom w:val="single" w:sz="4" w:space="0" w:color="8EA9DB"/>
              <w:right w:val="nil"/>
            </w:tcBorders>
            <w:shd w:val="clear" w:color="auto" w:fill="auto"/>
            <w:noWrap/>
            <w:vAlign w:val="bottom"/>
            <w:hideMark/>
          </w:tcPr>
          <w:p w14:paraId="46A694FF" w14:textId="403764CB" w:rsidR="005F4294" w:rsidRPr="004421BA" w:rsidRDefault="005F4294" w:rsidP="004C1953">
            <w:pPr>
              <w:jc w:val="center"/>
              <w:rPr>
                <w:color w:val="000000"/>
                <w:lang w:val="fr-FR" w:eastAsia="fr-FR"/>
              </w:rPr>
            </w:pPr>
            <w:r w:rsidRPr="004421BA">
              <w:rPr>
                <w:color w:val="000000"/>
                <w:lang w:val="fr-FR" w:eastAsia="fr-FR"/>
              </w:rPr>
              <w:t>36</w:t>
            </w:r>
            <w:r w:rsidR="00D25A3C" w:rsidRPr="004421BA">
              <w:rPr>
                <w:color w:val="000000"/>
                <w:lang w:val="fr-FR" w:eastAsia="fr-FR"/>
              </w:rPr>
              <w:t>.</w:t>
            </w:r>
            <w:r w:rsidRPr="004421BA">
              <w:rPr>
                <w:color w:val="000000"/>
                <w:lang w:val="fr-FR" w:eastAsia="fr-FR"/>
              </w:rPr>
              <w:t>60</w:t>
            </w:r>
          </w:p>
        </w:tc>
        <w:tc>
          <w:tcPr>
            <w:tcW w:w="744" w:type="dxa"/>
            <w:tcBorders>
              <w:top w:val="single" w:sz="4" w:space="0" w:color="8EA9DB"/>
              <w:left w:val="nil"/>
              <w:bottom w:val="single" w:sz="4" w:space="0" w:color="8EA9DB"/>
              <w:right w:val="nil"/>
            </w:tcBorders>
            <w:shd w:val="clear" w:color="auto" w:fill="auto"/>
            <w:noWrap/>
            <w:vAlign w:val="bottom"/>
            <w:hideMark/>
          </w:tcPr>
          <w:p w14:paraId="7FAED5BF" w14:textId="3E392D4F" w:rsidR="005F4294" w:rsidRPr="004421BA" w:rsidRDefault="005F4294" w:rsidP="004C1953">
            <w:pPr>
              <w:jc w:val="center"/>
              <w:rPr>
                <w:color w:val="000000"/>
                <w:lang w:val="fr-FR" w:eastAsia="fr-FR"/>
              </w:rPr>
            </w:pPr>
            <w:r w:rsidRPr="004421BA">
              <w:rPr>
                <w:color w:val="000000"/>
                <w:lang w:val="fr-FR" w:eastAsia="fr-FR"/>
              </w:rPr>
              <w:t>165</w:t>
            </w:r>
            <w:r w:rsidR="00D25A3C" w:rsidRPr="004421BA">
              <w:rPr>
                <w:color w:val="000000"/>
                <w:lang w:val="fr-FR" w:eastAsia="fr-FR"/>
              </w:rPr>
              <w:t>.</w:t>
            </w:r>
            <w:r w:rsidRPr="004421BA">
              <w:rPr>
                <w:color w:val="000000"/>
                <w:lang w:val="fr-FR" w:eastAsia="fr-FR"/>
              </w:rPr>
              <w:t>82</w:t>
            </w:r>
          </w:p>
        </w:tc>
        <w:tc>
          <w:tcPr>
            <w:tcW w:w="976" w:type="dxa"/>
            <w:tcBorders>
              <w:top w:val="single" w:sz="4" w:space="0" w:color="8EA9DB"/>
              <w:left w:val="nil"/>
              <w:bottom w:val="single" w:sz="4" w:space="0" w:color="8EA9DB"/>
              <w:right w:val="single" w:sz="4" w:space="0" w:color="auto"/>
            </w:tcBorders>
            <w:shd w:val="clear" w:color="auto" w:fill="auto"/>
            <w:noWrap/>
            <w:vAlign w:val="bottom"/>
            <w:hideMark/>
          </w:tcPr>
          <w:p w14:paraId="714AFBCA" w14:textId="0C8A8AE9" w:rsidR="005F4294" w:rsidRPr="004421BA" w:rsidRDefault="005F4294" w:rsidP="004C1953">
            <w:pPr>
              <w:jc w:val="center"/>
              <w:rPr>
                <w:b/>
                <w:bCs/>
                <w:color w:val="000000"/>
                <w:lang w:val="fr-FR" w:eastAsia="fr-FR"/>
              </w:rPr>
            </w:pPr>
            <w:r w:rsidRPr="004421BA">
              <w:rPr>
                <w:b/>
                <w:bCs/>
                <w:color w:val="000000"/>
                <w:lang w:val="fr-FR" w:eastAsia="fr-FR"/>
              </w:rPr>
              <w:t>5</w:t>
            </w:r>
            <w:r w:rsidR="00943715">
              <w:rPr>
                <w:b/>
                <w:bCs/>
                <w:color w:val="000000"/>
                <w:lang w:val="fr-FR" w:eastAsia="fr-FR"/>
              </w:rPr>
              <w:t>,</w:t>
            </w:r>
            <w:r w:rsidRPr="004421BA">
              <w:rPr>
                <w:b/>
                <w:bCs/>
                <w:color w:val="000000"/>
                <w:lang w:val="fr-FR" w:eastAsia="fr-FR"/>
              </w:rPr>
              <w:t>282</w:t>
            </w:r>
            <w:r w:rsidR="001379CB" w:rsidRPr="004421BA">
              <w:rPr>
                <w:b/>
                <w:bCs/>
                <w:color w:val="000000"/>
                <w:lang w:val="fr-FR" w:eastAsia="fr-FR"/>
              </w:rPr>
              <w:t>.</w:t>
            </w:r>
            <w:r w:rsidRPr="004421BA">
              <w:rPr>
                <w:b/>
                <w:bCs/>
                <w:color w:val="000000"/>
                <w:lang w:val="fr-FR" w:eastAsia="fr-FR"/>
              </w:rPr>
              <w:t>42</w:t>
            </w:r>
          </w:p>
        </w:tc>
      </w:tr>
      <w:tr w:rsidR="005F4294" w:rsidRPr="004421BA" w14:paraId="749ACC64" w14:textId="77777777" w:rsidTr="004421BA">
        <w:trPr>
          <w:trHeight w:val="290"/>
        </w:trPr>
        <w:tc>
          <w:tcPr>
            <w:tcW w:w="523" w:type="dxa"/>
            <w:tcBorders>
              <w:top w:val="single" w:sz="4" w:space="0" w:color="8EA9DB"/>
              <w:left w:val="single" w:sz="4" w:space="0" w:color="auto"/>
              <w:bottom w:val="single" w:sz="4" w:space="0" w:color="8EA9DB"/>
              <w:right w:val="nil"/>
            </w:tcBorders>
            <w:shd w:val="clear" w:color="D9E1F2" w:fill="D9E1F2"/>
            <w:noWrap/>
            <w:vAlign w:val="bottom"/>
            <w:hideMark/>
          </w:tcPr>
          <w:p w14:paraId="7B38E55F" w14:textId="77777777" w:rsidR="005F4294" w:rsidRPr="004421BA" w:rsidRDefault="005F4294" w:rsidP="004C1953">
            <w:pPr>
              <w:jc w:val="center"/>
              <w:rPr>
                <w:color w:val="000000"/>
                <w:lang w:val="fr-FR" w:eastAsia="fr-FR"/>
              </w:rPr>
            </w:pPr>
            <w:r w:rsidRPr="004421BA">
              <w:rPr>
                <w:color w:val="000000"/>
                <w:lang w:val="fr-FR" w:eastAsia="fr-FR"/>
              </w:rPr>
              <w:t>179</w:t>
            </w:r>
          </w:p>
        </w:tc>
        <w:tc>
          <w:tcPr>
            <w:tcW w:w="1311" w:type="dxa"/>
            <w:tcBorders>
              <w:top w:val="single" w:sz="4" w:space="0" w:color="8EA9DB"/>
              <w:left w:val="nil"/>
              <w:bottom w:val="single" w:sz="4" w:space="0" w:color="8EA9DB"/>
              <w:right w:val="nil"/>
            </w:tcBorders>
            <w:shd w:val="clear" w:color="D9E1F2" w:fill="D9E1F2"/>
            <w:noWrap/>
            <w:vAlign w:val="bottom"/>
            <w:hideMark/>
          </w:tcPr>
          <w:p w14:paraId="50C47355" w14:textId="77777777" w:rsidR="005F4294" w:rsidRPr="004421BA" w:rsidRDefault="005F4294" w:rsidP="004C1953">
            <w:pPr>
              <w:jc w:val="center"/>
              <w:rPr>
                <w:color w:val="000000"/>
                <w:lang w:val="fr-FR" w:eastAsia="fr-FR"/>
              </w:rPr>
            </w:pPr>
            <w:r w:rsidRPr="004421BA">
              <w:rPr>
                <w:color w:val="000000"/>
                <w:lang w:val="fr-FR" w:eastAsia="fr-FR"/>
              </w:rPr>
              <w:t>BOUTAVEN</w:t>
            </w:r>
          </w:p>
        </w:tc>
        <w:tc>
          <w:tcPr>
            <w:tcW w:w="855" w:type="dxa"/>
            <w:tcBorders>
              <w:top w:val="single" w:sz="4" w:space="0" w:color="8EA9DB"/>
              <w:left w:val="nil"/>
              <w:bottom w:val="single" w:sz="4" w:space="0" w:color="8EA9DB"/>
              <w:right w:val="nil"/>
            </w:tcBorders>
            <w:shd w:val="clear" w:color="D9E1F2" w:fill="D9E1F2"/>
            <w:noWrap/>
            <w:vAlign w:val="bottom"/>
            <w:hideMark/>
          </w:tcPr>
          <w:p w14:paraId="1B896D9B" w14:textId="77777777" w:rsidR="005F4294" w:rsidRPr="004421BA" w:rsidRDefault="005F4294" w:rsidP="004C1953">
            <w:pPr>
              <w:jc w:val="center"/>
              <w:rPr>
                <w:color w:val="000000"/>
                <w:lang w:val="fr-FR" w:eastAsia="fr-FR"/>
              </w:rPr>
            </w:pPr>
            <w:r w:rsidRPr="004421BA">
              <w:rPr>
                <w:color w:val="000000"/>
                <w:lang w:val="fr-FR" w:eastAsia="fr-FR"/>
              </w:rPr>
              <w:t>Elec</w:t>
            </w:r>
          </w:p>
        </w:tc>
        <w:tc>
          <w:tcPr>
            <w:tcW w:w="1141" w:type="dxa"/>
            <w:tcBorders>
              <w:top w:val="single" w:sz="4" w:space="0" w:color="8EA9DB"/>
              <w:left w:val="nil"/>
              <w:bottom w:val="single" w:sz="4" w:space="0" w:color="8EA9DB"/>
              <w:right w:val="nil"/>
            </w:tcBorders>
            <w:shd w:val="clear" w:color="D9E1F2" w:fill="D9E1F2"/>
            <w:noWrap/>
            <w:vAlign w:val="bottom"/>
            <w:hideMark/>
          </w:tcPr>
          <w:p w14:paraId="023E921A" w14:textId="77777777" w:rsidR="005F4294" w:rsidRPr="004421BA" w:rsidRDefault="005F4294" w:rsidP="004C1953">
            <w:pPr>
              <w:jc w:val="center"/>
              <w:rPr>
                <w:color w:val="000000"/>
                <w:lang w:val="fr-FR" w:eastAsia="fr-FR"/>
              </w:rPr>
            </w:pPr>
            <w:r w:rsidRPr="004421BA">
              <w:rPr>
                <w:color w:val="000000"/>
                <w:lang w:val="fr-FR" w:eastAsia="fr-FR"/>
              </w:rPr>
              <w:t>Wind</w:t>
            </w:r>
          </w:p>
        </w:tc>
        <w:tc>
          <w:tcPr>
            <w:tcW w:w="882" w:type="dxa"/>
            <w:tcBorders>
              <w:top w:val="single" w:sz="4" w:space="0" w:color="8EA9DB"/>
              <w:left w:val="nil"/>
              <w:bottom w:val="single" w:sz="4" w:space="0" w:color="8EA9DB"/>
              <w:right w:val="nil"/>
            </w:tcBorders>
            <w:shd w:val="clear" w:color="D9E1F2" w:fill="D9E1F2"/>
            <w:noWrap/>
            <w:vAlign w:val="bottom"/>
            <w:hideMark/>
          </w:tcPr>
          <w:p w14:paraId="3577AB2A" w14:textId="30408CB1" w:rsidR="005F4294" w:rsidRPr="004421BA" w:rsidRDefault="005F4294" w:rsidP="004C1953">
            <w:pPr>
              <w:jc w:val="center"/>
              <w:rPr>
                <w:color w:val="000000"/>
                <w:lang w:val="fr-FR" w:eastAsia="fr-FR"/>
              </w:rPr>
            </w:pPr>
            <w:r w:rsidRPr="004421BA">
              <w:rPr>
                <w:color w:val="000000"/>
                <w:lang w:val="fr-FR" w:eastAsia="fr-FR"/>
              </w:rPr>
              <w:t>37</w:t>
            </w:r>
            <w:r w:rsidR="00D25A3C" w:rsidRPr="004421BA">
              <w:rPr>
                <w:color w:val="000000"/>
                <w:lang w:val="fr-FR" w:eastAsia="fr-FR"/>
              </w:rPr>
              <w:t>.</w:t>
            </w:r>
            <w:r w:rsidRPr="004421BA">
              <w:rPr>
                <w:color w:val="000000"/>
                <w:lang w:val="fr-FR" w:eastAsia="fr-FR"/>
              </w:rPr>
              <w:t>38</w:t>
            </w:r>
          </w:p>
        </w:tc>
        <w:tc>
          <w:tcPr>
            <w:tcW w:w="645" w:type="dxa"/>
            <w:tcBorders>
              <w:top w:val="single" w:sz="4" w:space="0" w:color="8EA9DB"/>
              <w:left w:val="nil"/>
              <w:bottom w:val="single" w:sz="4" w:space="0" w:color="8EA9DB"/>
              <w:right w:val="nil"/>
            </w:tcBorders>
            <w:shd w:val="clear" w:color="D9E1F2" w:fill="D9E1F2"/>
            <w:noWrap/>
            <w:vAlign w:val="bottom"/>
            <w:hideMark/>
          </w:tcPr>
          <w:p w14:paraId="4AEE3B2F" w14:textId="6B953A85" w:rsidR="005F4294" w:rsidRPr="004421BA" w:rsidRDefault="005F4294" w:rsidP="004C1953">
            <w:pPr>
              <w:jc w:val="center"/>
              <w:rPr>
                <w:color w:val="000000"/>
                <w:lang w:val="fr-FR" w:eastAsia="fr-FR"/>
              </w:rPr>
            </w:pPr>
            <w:r w:rsidRPr="004421BA">
              <w:rPr>
                <w:color w:val="000000"/>
                <w:lang w:val="fr-FR" w:eastAsia="fr-FR"/>
              </w:rPr>
              <w:t>0</w:t>
            </w:r>
            <w:r w:rsidR="00D25A3C" w:rsidRPr="004421BA">
              <w:rPr>
                <w:color w:val="000000"/>
                <w:lang w:val="fr-FR" w:eastAsia="fr-FR"/>
              </w:rPr>
              <w:t>.</w:t>
            </w:r>
            <w:r w:rsidRPr="004421BA">
              <w:rPr>
                <w:color w:val="000000"/>
                <w:lang w:val="fr-FR" w:eastAsia="fr-FR"/>
              </w:rPr>
              <w:t>18</w:t>
            </w:r>
          </w:p>
        </w:tc>
        <w:tc>
          <w:tcPr>
            <w:tcW w:w="744" w:type="dxa"/>
            <w:tcBorders>
              <w:top w:val="single" w:sz="4" w:space="0" w:color="8EA9DB"/>
              <w:left w:val="nil"/>
              <w:bottom w:val="single" w:sz="4" w:space="0" w:color="8EA9DB"/>
              <w:right w:val="nil"/>
            </w:tcBorders>
            <w:shd w:val="clear" w:color="D9E1F2" w:fill="D9E1F2"/>
            <w:noWrap/>
            <w:vAlign w:val="bottom"/>
            <w:hideMark/>
          </w:tcPr>
          <w:p w14:paraId="30614B26" w14:textId="42119C66" w:rsidR="005F4294" w:rsidRPr="004421BA" w:rsidRDefault="005F4294" w:rsidP="004C1953">
            <w:pPr>
              <w:jc w:val="center"/>
              <w:rPr>
                <w:color w:val="000000"/>
                <w:lang w:val="fr-FR" w:eastAsia="fr-FR"/>
              </w:rPr>
            </w:pPr>
            <w:r w:rsidRPr="004421BA">
              <w:rPr>
                <w:color w:val="000000"/>
                <w:lang w:val="fr-FR" w:eastAsia="fr-FR"/>
              </w:rPr>
              <w:t>217</w:t>
            </w:r>
            <w:r w:rsidR="00D25A3C" w:rsidRPr="004421BA">
              <w:rPr>
                <w:color w:val="000000"/>
                <w:lang w:val="fr-FR" w:eastAsia="fr-FR"/>
              </w:rPr>
              <w:t>.</w:t>
            </w:r>
            <w:r w:rsidRPr="004421BA">
              <w:rPr>
                <w:color w:val="000000"/>
                <w:lang w:val="fr-FR" w:eastAsia="fr-FR"/>
              </w:rPr>
              <w:t>80</w:t>
            </w:r>
          </w:p>
        </w:tc>
        <w:tc>
          <w:tcPr>
            <w:tcW w:w="976" w:type="dxa"/>
            <w:tcBorders>
              <w:top w:val="single" w:sz="4" w:space="0" w:color="8EA9DB"/>
              <w:left w:val="nil"/>
              <w:bottom w:val="single" w:sz="4" w:space="0" w:color="8EA9DB"/>
              <w:right w:val="single" w:sz="4" w:space="0" w:color="auto"/>
            </w:tcBorders>
            <w:shd w:val="clear" w:color="D9E1F2" w:fill="D9E1F2"/>
            <w:noWrap/>
            <w:vAlign w:val="bottom"/>
            <w:hideMark/>
          </w:tcPr>
          <w:p w14:paraId="1F8CB8D0" w14:textId="5479AC42" w:rsidR="005F4294" w:rsidRPr="004421BA" w:rsidRDefault="005F4294" w:rsidP="004C1953">
            <w:pPr>
              <w:jc w:val="center"/>
              <w:rPr>
                <w:b/>
                <w:bCs/>
                <w:color w:val="000000"/>
                <w:lang w:val="fr-FR" w:eastAsia="fr-FR"/>
              </w:rPr>
            </w:pPr>
            <w:r w:rsidRPr="004421BA">
              <w:rPr>
                <w:b/>
                <w:bCs/>
                <w:color w:val="000000"/>
                <w:lang w:val="fr-FR" w:eastAsia="fr-FR"/>
              </w:rPr>
              <w:t>255</w:t>
            </w:r>
            <w:r w:rsidR="001379CB" w:rsidRPr="004421BA">
              <w:rPr>
                <w:b/>
                <w:bCs/>
                <w:color w:val="000000"/>
                <w:lang w:val="fr-FR" w:eastAsia="fr-FR"/>
              </w:rPr>
              <w:t>.</w:t>
            </w:r>
            <w:r w:rsidRPr="004421BA">
              <w:rPr>
                <w:b/>
                <w:bCs/>
                <w:color w:val="000000"/>
                <w:lang w:val="fr-FR" w:eastAsia="fr-FR"/>
              </w:rPr>
              <w:t>36</w:t>
            </w:r>
          </w:p>
        </w:tc>
      </w:tr>
      <w:tr w:rsidR="00D25A3C" w:rsidRPr="004421BA" w14:paraId="74EB37A5" w14:textId="77777777" w:rsidTr="004421BA">
        <w:trPr>
          <w:trHeight w:val="290"/>
        </w:trPr>
        <w:tc>
          <w:tcPr>
            <w:tcW w:w="523" w:type="dxa"/>
            <w:tcBorders>
              <w:top w:val="single" w:sz="4" w:space="0" w:color="8EA9DB"/>
              <w:left w:val="single" w:sz="4" w:space="0" w:color="auto"/>
              <w:bottom w:val="single" w:sz="4" w:space="0" w:color="8EA9DB"/>
              <w:right w:val="nil"/>
            </w:tcBorders>
            <w:shd w:val="clear" w:color="auto" w:fill="auto"/>
            <w:noWrap/>
            <w:vAlign w:val="bottom"/>
            <w:hideMark/>
          </w:tcPr>
          <w:p w14:paraId="71A00772" w14:textId="77777777" w:rsidR="005F4294" w:rsidRPr="004421BA" w:rsidRDefault="005F4294" w:rsidP="004C1953">
            <w:pPr>
              <w:jc w:val="center"/>
              <w:rPr>
                <w:color w:val="000000"/>
                <w:lang w:val="fr-FR" w:eastAsia="fr-FR"/>
              </w:rPr>
            </w:pPr>
            <w:r w:rsidRPr="004421BA">
              <w:rPr>
                <w:color w:val="000000"/>
                <w:lang w:val="fr-FR" w:eastAsia="fr-FR"/>
              </w:rPr>
              <w:t>308</w:t>
            </w:r>
          </w:p>
        </w:tc>
        <w:tc>
          <w:tcPr>
            <w:tcW w:w="1311" w:type="dxa"/>
            <w:tcBorders>
              <w:top w:val="single" w:sz="4" w:space="0" w:color="8EA9DB"/>
              <w:left w:val="nil"/>
              <w:bottom w:val="single" w:sz="4" w:space="0" w:color="8EA9DB"/>
              <w:right w:val="nil"/>
            </w:tcBorders>
            <w:shd w:val="clear" w:color="auto" w:fill="auto"/>
            <w:noWrap/>
            <w:vAlign w:val="bottom"/>
            <w:hideMark/>
          </w:tcPr>
          <w:p w14:paraId="234A88A4" w14:textId="3D9605FE" w:rsidR="005F4294" w:rsidRPr="004421BA" w:rsidRDefault="009B526E" w:rsidP="009B526E">
            <w:pPr>
              <w:jc w:val="center"/>
              <w:rPr>
                <w:color w:val="000000"/>
                <w:lang w:val="fr-FR" w:eastAsia="fr-FR"/>
              </w:rPr>
            </w:pPr>
            <w:proofErr w:type="spellStart"/>
            <w:r w:rsidRPr="004421BA">
              <w:rPr>
                <w:color w:val="000000"/>
                <w:lang w:val="fr-FR" w:eastAsia="fr-FR"/>
              </w:rPr>
              <w:t>B</w:t>
            </w:r>
            <w:r w:rsidR="005F4294" w:rsidRPr="004421BA">
              <w:rPr>
                <w:color w:val="000000"/>
                <w:lang w:val="fr-FR" w:eastAsia="fr-FR"/>
              </w:rPr>
              <w:t>ionerval</w:t>
            </w:r>
            <w:proofErr w:type="spellEnd"/>
          </w:p>
        </w:tc>
        <w:tc>
          <w:tcPr>
            <w:tcW w:w="855" w:type="dxa"/>
            <w:tcBorders>
              <w:top w:val="single" w:sz="4" w:space="0" w:color="8EA9DB"/>
              <w:left w:val="nil"/>
              <w:bottom w:val="single" w:sz="4" w:space="0" w:color="8EA9DB"/>
              <w:right w:val="nil"/>
            </w:tcBorders>
            <w:shd w:val="clear" w:color="auto" w:fill="auto"/>
            <w:noWrap/>
            <w:vAlign w:val="bottom"/>
            <w:hideMark/>
          </w:tcPr>
          <w:p w14:paraId="7D68C887" w14:textId="77777777" w:rsidR="005F4294" w:rsidRPr="004421BA" w:rsidRDefault="005F4294" w:rsidP="004C1953">
            <w:pPr>
              <w:jc w:val="center"/>
              <w:rPr>
                <w:color w:val="000000"/>
                <w:lang w:val="fr-FR" w:eastAsia="fr-FR"/>
              </w:rPr>
            </w:pPr>
            <w:r w:rsidRPr="004421BA">
              <w:rPr>
                <w:color w:val="000000"/>
                <w:lang w:val="fr-FR" w:eastAsia="fr-FR"/>
              </w:rPr>
              <w:t>Elec</w:t>
            </w:r>
          </w:p>
        </w:tc>
        <w:tc>
          <w:tcPr>
            <w:tcW w:w="1141" w:type="dxa"/>
            <w:tcBorders>
              <w:top w:val="single" w:sz="4" w:space="0" w:color="8EA9DB"/>
              <w:left w:val="nil"/>
              <w:bottom w:val="single" w:sz="4" w:space="0" w:color="8EA9DB"/>
              <w:right w:val="nil"/>
            </w:tcBorders>
            <w:shd w:val="clear" w:color="auto" w:fill="auto"/>
            <w:noWrap/>
            <w:vAlign w:val="bottom"/>
            <w:hideMark/>
          </w:tcPr>
          <w:p w14:paraId="37E1D1CA" w14:textId="77777777" w:rsidR="005F4294" w:rsidRPr="004421BA" w:rsidRDefault="005F4294" w:rsidP="004C1953">
            <w:pPr>
              <w:jc w:val="center"/>
              <w:rPr>
                <w:color w:val="000000"/>
                <w:lang w:val="fr-FR" w:eastAsia="fr-FR"/>
              </w:rPr>
            </w:pPr>
            <w:proofErr w:type="spellStart"/>
            <w:r w:rsidRPr="004421BA">
              <w:rPr>
                <w:color w:val="000000"/>
                <w:lang w:val="fr-FR" w:eastAsia="fr-FR"/>
              </w:rPr>
              <w:t>Bioenergy</w:t>
            </w:r>
            <w:proofErr w:type="spellEnd"/>
          </w:p>
        </w:tc>
        <w:tc>
          <w:tcPr>
            <w:tcW w:w="882" w:type="dxa"/>
            <w:tcBorders>
              <w:top w:val="single" w:sz="4" w:space="0" w:color="8EA9DB"/>
              <w:left w:val="nil"/>
              <w:bottom w:val="single" w:sz="4" w:space="0" w:color="8EA9DB"/>
              <w:right w:val="nil"/>
            </w:tcBorders>
            <w:shd w:val="clear" w:color="auto" w:fill="auto"/>
            <w:noWrap/>
            <w:vAlign w:val="bottom"/>
            <w:hideMark/>
          </w:tcPr>
          <w:p w14:paraId="6D39F7D7" w14:textId="4F7059D3" w:rsidR="005F4294" w:rsidRPr="004421BA" w:rsidRDefault="005F4294" w:rsidP="004C1953">
            <w:pPr>
              <w:jc w:val="center"/>
              <w:rPr>
                <w:color w:val="000000"/>
                <w:lang w:val="fr-FR" w:eastAsia="fr-FR"/>
              </w:rPr>
            </w:pPr>
            <w:r w:rsidRPr="004421BA">
              <w:rPr>
                <w:color w:val="000000"/>
                <w:lang w:val="fr-FR" w:eastAsia="fr-FR"/>
              </w:rPr>
              <w:t>167</w:t>
            </w:r>
            <w:r w:rsidR="00D25A3C" w:rsidRPr="004421BA">
              <w:rPr>
                <w:color w:val="000000"/>
                <w:lang w:val="fr-FR" w:eastAsia="fr-FR"/>
              </w:rPr>
              <w:t>.</w:t>
            </w:r>
            <w:r w:rsidRPr="004421BA">
              <w:rPr>
                <w:color w:val="000000"/>
                <w:lang w:val="fr-FR" w:eastAsia="fr-FR"/>
              </w:rPr>
              <w:t>76</w:t>
            </w:r>
          </w:p>
        </w:tc>
        <w:tc>
          <w:tcPr>
            <w:tcW w:w="645" w:type="dxa"/>
            <w:tcBorders>
              <w:top w:val="single" w:sz="4" w:space="0" w:color="8EA9DB"/>
              <w:left w:val="nil"/>
              <w:bottom w:val="single" w:sz="4" w:space="0" w:color="8EA9DB"/>
              <w:right w:val="nil"/>
            </w:tcBorders>
            <w:shd w:val="clear" w:color="auto" w:fill="auto"/>
            <w:noWrap/>
            <w:vAlign w:val="bottom"/>
            <w:hideMark/>
          </w:tcPr>
          <w:p w14:paraId="63E5DB8E" w14:textId="4F801AE0" w:rsidR="005F4294" w:rsidRPr="004421BA" w:rsidRDefault="005F4294" w:rsidP="004C1953">
            <w:pPr>
              <w:jc w:val="center"/>
              <w:rPr>
                <w:color w:val="000000"/>
                <w:lang w:val="fr-FR" w:eastAsia="fr-FR"/>
              </w:rPr>
            </w:pPr>
            <w:r w:rsidRPr="004421BA">
              <w:rPr>
                <w:color w:val="000000"/>
                <w:lang w:val="fr-FR" w:eastAsia="fr-FR"/>
              </w:rPr>
              <w:t>0</w:t>
            </w:r>
            <w:r w:rsidR="00D25A3C" w:rsidRPr="004421BA">
              <w:rPr>
                <w:color w:val="000000"/>
                <w:lang w:val="fr-FR" w:eastAsia="fr-FR"/>
              </w:rPr>
              <w:t>.</w:t>
            </w:r>
            <w:r w:rsidRPr="004421BA">
              <w:rPr>
                <w:color w:val="000000"/>
                <w:lang w:val="fr-FR" w:eastAsia="fr-FR"/>
              </w:rPr>
              <w:t>09</w:t>
            </w:r>
          </w:p>
        </w:tc>
        <w:tc>
          <w:tcPr>
            <w:tcW w:w="744" w:type="dxa"/>
            <w:tcBorders>
              <w:top w:val="single" w:sz="4" w:space="0" w:color="8EA9DB"/>
              <w:left w:val="nil"/>
              <w:bottom w:val="single" w:sz="4" w:space="0" w:color="8EA9DB"/>
              <w:right w:val="nil"/>
            </w:tcBorders>
            <w:shd w:val="clear" w:color="auto" w:fill="auto"/>
            <w:noWrap/>
            <w:vAlign w:val="bottom"/>
            <w:hideMark/>
          </w:tcPr>
          <w:p w14:paraId="0424B885" w14:textId="0A26A692" w:rsidR="005F4294" w:rsidRPr="004421BA" w:rsidRDefault="005F4294" w:rsidP="004C1953">
            <w:pPr>
              <w:jc w:val="center"/>
              <w:rPr>
                <w:color w:val="000000"/>
                <w:lang w:val="fr-FR" w:eastAsia="fr-FR"/>
              </w:rPr>
            </w:pPr>
            <w:r w:rsidRPr="004421BA">
              <w:rPr>
                <w:color w:val="000000"/>
                <w:lang w:val="fr-FR" w:eastAsia="fr-FR"/>
              </w:rPr>
              <w:t>391</w:t>
            </w:r>
            <w:r w:rsidR="001379CB" w:rsidRPr="004421BA">
              <w:rPr>
                <w:color w:val="000000"/>
                <w:lang w:val="fr-FR" w:eastAsia="fr-FR"/>
              </w:rPr>
              <w:t>.</w:t>
            </w:r>
            <w:r w:rsidRPr="004421BA">
              <w:rPr>
                <w:color w:val="000000"/>
                <w:lang w:val="fr-FR" w:eastAsia="fr-FR"/>
              </w:rPr>
              <w:t>12</w:t>
            </w:r>
          </w:p>
        </w:tc>
        <w:tc>
          <w:tcPr>
            <w:tcW w:w="976" w:type="dxa"/>
            <w:tcBorders>
              <w:top w:val="single" w:sz="4" w:space="0" w:color="8EA9DB"/>
              <w:left w:val="nil"/>
              <w:bottom w:val="single" w:sz="4" w:space="0" w:color="8EA9DB"/>
              <w:right w:val="single" w:sz="4" w:space="0" w:color="auto"/>
            </w:tcBorders>
            <w:shd w:val="clear" w:color="auto" w:fill="auto"/>
            <w:noWrap/>
            <w:vAlign w:val="bottom"/>
            <w:hideMark/>
          </w:tcPr>
          <w:p w14:paraId="0FC7894E" w14:textId="616DE20B" w:rsidR="005F4294" w:rsidRPr="004421BA" w:rsidRDefault="005F4294" w:rsidP="004C1953">
            <w:pPr>
              <w:jc w:val="center"/>
              <w:rPr>
                <w:b/>
                <w:bCs/>
                <w:color w:val="000000"/>
                <w:lang w:val="fr-FR" w:eastAsia="fr-FR"/>
              </w:rPr>
            </w:pPr>
            <w:r w:rsidRPr="004421BA">
              <w:rPr>
                <w:b/>
                <w:bCs/>
                <w:color w:val="000000"/>
                <w:lang w:val="fr-FR" w:eastAsia="fr-FR"/>
              </w:rPr>
              <w:t>558</w:t>
            </w:r>
            <w:r w:rsidR="001379CB" w:rsidRPr="004421BA">
              <w:rPr>
                <w:b/>
                <w:bCs/>
                <w:color w:val="000000"/>
                <w:lang w:val="fr-FR" w:eastAsia="fr-FR"/>
              </w:rPr>
              <w:t>.</w:t>
            </w:r>
            <w:r w:rsidRPr="004421BA">
              <w:rPr>
                <w:b/>
                <w:bCs/>
                <w:color w:val="000000"/>
                <w:lang w:val="fr-FR" w:eastAsia="fr-FR"/>
              </w:rPr>
              <w:t>97</w:t>
            </w:r>
          </w:p>
        </w:tc>
      </w:tr>
      <w:tr w:rsidR="005F4294" w:rsidRPr="004421BA" w14:paraId="4931A886" w14:textId="77777777" w:rsidTr="004421BA">
        <w:trPr>
          <w:trHeight w:val="290"/>
        </w:trPr>
        <w:tc>
          <w:tcPr>
            <w:tcW w:w="523" w:type="dxa"/>
            <w:tcBorders>
              <w:top w:val="single" w:sz="4" w:space="0" w:color="8EA9DB"/>
              <w:left w:val="single" w:sz="4" w:space="0" w:color="auto"/>
              <w:bottom w:val="single" w:sz="4" w:space="0" w:color="auto"/>
              <w:right w:val="nil"/>
            </w:tcBorders>
            <w:shd w:val="clear" w:color="D9E1F2" w:fill="D9E1F2"/>
            <w:noWrap/>
            <w:vAlign w:val="bottom"/>
            <w:hideMark/>
          </w:tcPr>
          <w:p w14:paraId="7EC2ABA0" w14:textId="77777777" w:rsidR="005F4294" w:rsidRPr="004421BA" w:rsidRDefault="005F4294" w:rsidP="004C1953">
            <w:pPr>
              <w:jc w:val="center"/>
              <w:rPr>
                <w:color w:val="000000"/>
                <w:lang w:val="fr-FR" w:eastAsia="fr-FR"/>
              </w:rPr>
            </w:pPr>
            <w:r w:rsidRPr="004421BA">
              <w:rPr>
                <w:color w:val="000000"/>
                <w:lang w:val="fr-FR" w:eastAsia="fr-FR"/>
              </w:rPr>
              <w:t>285</w:t>
            </w:r>
          </w:p>
        </w:tc>
        <w:tc>
          <w:tcPr>
            <w:tcW w:w="1311" w:type="dxa"/>
            <w:tcBorders>
              <w:top w:val="single" w:sz="4" w:space="0" w:color="8EA9DB"/>
              <w:left w:val="nil"/>
              <w:bottom w:val="single" w:sz="4" w:space="0" w:color="auto"/>
              <w:right w:val="nil"/>
            </w:tcBorders>
            <w:shd w:val="clear" w:color="D9E1F2" w:fill="D9E1F2"/>
            <w:noWrap/>
            <w:vAlign w:val="bottom"/>
            <w:hideMark/>
          </w:tcPr>
          <w:p w14:paraId="0D3F0E8B" w14:textId="77777777" w:rsidR="005F4294" w:rsidRPr="004421BA" w:rsidRDefault="005F4294" w:rsidP="004C1953">
            <w:pPr>
              <w:jc w:val="center"/>
              <w:rPr>
                <w:color w:val="000000"/>
                <w:lang w:val="fr-FR" w:eastAsia="fr-FR"/>
              </w:rPr>
            </w:pPr>
            <w:r w:rsidRPr="004421BA">
              <w:rPr>
                <w:color w:val="000000"/>
                <w:lang w:val="fr-FR" w:eastAsia="fr-FR"/>
              </w:rPr>
              <w:t>AGOST</w:t>
            </w:r>
          </w:p>
        </w:tc>
        <w:tc>
          <w:tcPr>
            <w:tcW w:w="855" w:type="dxa"/>
            <w:tcBorders>
              <w:top w:val="single" w:sz="4" w:space="0" w:color="8EA9DB"/>
              <w:left w:val="nil"/>
              <w:bottom w:val="single" w:sz="4" w:space="0" w:color="auto"/>
              <w:right w:val="nil"/>
            </w:tcBorders>
            <w:shd w:val="clear" w:color="D9E1F2" w:fill="D9E1F2"/>
            <w:noWrap/>
            <w:vAlign w:val="bottom"/>
            <w:hideMark/>
          </w:tcPr>
          <w:p w14:paraId="471D8FE3" w14:textId="77777777" w:rsidR="005F4294" w:rsidRPr="004421BA" w:rsidRDefault="005F4294" w:rsidP="004C1953">
            <w:pPr>
              <w:jc w:val="center"/>
              <w:rPr>
                <w:color w:val="000000"/>
                <w:lang w:val="fr-FR" w:eastAsia="fr-FR"/>
              </w:rPr>
            </w:pPr>
            <w:r w:rsidRPr="004421BA">
              <w:rPr>
                <w:color w:val="000000"/>
                <w:lang w:val="fr-FR" w:eastAsia="fr-FR"/>
              </w:rPr>
              <w:t>Elec</w:t>
            </w:r>
          </w:p>
        </w:tc>
        <w:tc>
          <w:tcPr>
            <w:tcW w:w="1141" w:type="dxa"/>
            <w:tcBorders>
              <w:top w:val="single" w:sz="4" w:space="0" w:color="8EA9DB"/>
              <w:left w:val="nil"/>
              <w:bottom w:val="single" w:sz="4" w:space="0" w:color="auto"/>
              <w:right w:val="nil"/>
            </w:tcBorders>
            <w:shd w:val="clear" w:color="D9E1F2" w:fill="D9E1F2"/>
            <w:noWrap/>
            <w:vAlign w:val="bottom"/>
            <w:hideMark/>
          </w:tcPr>
          <w:p w14:paraId="5425C371" w14:textId="77777777" w:rsidR="005F4294" w:rsidRPr="004421BA" w:rsidRDefault="005F4294" w:rsidP="004C1953">
            <w:pPr>
              <w:jc w:val="center"/>
              <w:rPr>
                <w:color w:val="000000"/>
                <w:lang w:val="fr-FR" w:eastAsia="fr-FR"/>
              </w:rPr>
            </w:pPr>
            <w:r w:rsidRPr="004421BA">
              <w:rPr>
                <w:color w:val="000000"/>
                <w:lang w:val="fr-FR" w:eastAsia="fr-FR"/>
              </w:rPr>
              <w:t>Solar</w:t>
            </w:r>
          </w:p>
        </w:tc>
        <w:tc>
          <w:tcPr>
            <w:tcW w:w="882" w:type="dxa"/>
            <w:tcBorders>
              <w:top w:val="single" w:sz="4" w:space="0" w:color="8EA9DB"/>
              <w:left w:val="nil"/>
              <w:bottom w:val="single" w:sz="4" w:space="0" w:color="auto"/>
              <w:right w:val="nil"/>
            </w:tcBorders>
            <w:shd w:val="clear" w:color="D9E1F2" w:fill="D9E1F2"/>
            <w:noWrap/>
            <w:vAlign w:val="bottom"/>
            <w:hideMark/>
          </w:tcPr>
          <w:p w14:paraId="47C7A6EF" w14:textId="4F52264B" w:rsidR="005F4294" w:rsidRPr="004421BA" w:rsidRDefault="005F4294" w:rsidP="004C1953">
            <w:pPr>
              <w:jc w:val="center"/>
              <w:rPr>
                <w:color w:val="000000"/>
                <w:lang w:val="fr-FR" w:eastAsia="fr-FR"/>
              </w:rPr>
            </w:pPr>
            <w:r w:rsidRPr="004421BA">
              <w:rPr>
                <w:color w:val="000000"/>
                <w:lang w:val="fr-FR" w:eastAsia="fr-FR"/>
              </w:rPr>
              <w:t>5</w:t>
            </w:r>
            <w:r w:rsidR="00D25A3C" w:rsidRPr="004421BA">
              <w:rPr>
                <w:color w:val="000000"/>
                <w:lang w:val="fr-FR" w:eastAsia="fr-FR"/>
              </w:rPr>
              <w:t>.</w:t>
            </w:r>
            <w:r w:rsidRPr="004421BA">
              <w:rPr>
                <w:color w:val="000000"/>
                <w:lang w:val="fr-FR" w:eastAsia="fr-FR"/>
              </w:rPr>
              <w:t>54</w:t>
            </w:r>
          </w:p>
        </w:tc>
        <w:tc>
          <w:tcPr>
            <w:tcW w:w="645" w:type="dxa"/>
            <w:tcBorders>
              <w:top w:val="single" w:sz="4" w:space="0" w:color="8EA9DB"/>
              <w:left w:val="nil"/>
              <w:bottom w:val="single" w:sz="4" w:space="0" w:color="auto"/>
              <w:right w:val="nil"/>
            </w:tcBorders>
            <w:shd w:val="clear" w:color="D9E1F2" w:fill="D9E1F2"/>
            <w:noWrap/>
            <w:vAlign w:val="bottom"/>
            <w:hideMark/>
          </w:tcPr>
          <w:p w14:paraId="515BF358" w14:textId="46C7D40E" w:rsidR="005F4294" w:rsidRPr="004421BA" w:rsidRDefault="005F4294" w:rsidP="004C1953">
            <w:pPr>
              <w:jc w:val="center"/>
              <w:rPr>
                <w:color w:val="000000"/>
                <w:lang w:val="fr-FR" w:eastAsia="fr-FR"/>
              </w:rPr>
            </w:pPr>
            <w:r w:rsidRPr="004421BA">
              <w:rPr>
                <w:color w:val="000000"/>
                <w:lang w:val="fr-FR" w:eastAsia="fr-FR"/>
              </w:rPr>
              <w:t>0</w:t>
            </w:r>
            <w:r w:rsidR="00D25A3C" w:rsidRPr="004421BA">
              <w:rPr>
                <w:color w:val="000000"/>
                <w:lang w:val="fr-FR" w:eastAsia="fr-FR"/>
              </w:rPr>
              <w:t>.</w:t>
            </w:r>
            <w:r w:rsidRPr="004421BA">
              <w:rPr>
                <w:color w:val="000000"/>
                <w:lang w:val="fr-FR" w:eastAsia="fr-FR"/>
              </w:rPr>
              <w:t>00</w:t>
            </w:r>
          </w:p>
        </w:tc>
        <w:tc>
          <w:tcPr>
            <w:tcW w:w="744" w:type="dxa"/>
            <w:tcBorders>
              <w:top w:val="single" w:sz="4" w:space="0" w:color="8EA9DB"/>
              <w:left w:val="nil"/>
              <w:bottom w:val="single" w:sz="4" w:space="0" w:color="auto"/>
              <w:right w:val="nil"/>
            </w:tcBorders>
            <w:shd w:val="clear" w:color="D9E1F2" w:fill="D9E1F2"/>
            <w:noWrap/>
            <w:vAlign w:val="bottom"/>
            <w:hideMark/>
          </w:tcPr>
          <w:p w14:paraId="4F934C9C" w14:textId="7318D8ED" w:rsidR="005F4294" w:rsidRPr="004421BA" w:rsidRDefault="005F4294" w:rsidP="004C1953">
            <w:pPr>
              <w:jc w:val="center"/>
              <w:rPr>
                <w:color w:val="000000"/>
                <w:lang w:val="fr-FR" w:eastAsia="fr-FR"/>
              </w:rPr>
            </w:pPr>
            <w:r w:rsidRPr="004421BA">
              <w:rPr>
                <w:color w:val="000000"/>
                <w:lang w:val="fr-FR" w:eastAsia="fr-FR"/>
              </w:rPr>
              <w:t>388</w:t>
            </w:r>
            <w:r w:rsidR="001379CB" w:rsidRPr="004421BA">
              <w:rPr>
                <w:color w:val="000000"/>
                <w:lang w:val="fr-FR" w:eastAsia="fr-FR"/>
              </w:rPr>
              <w:t>.</w:t>
            </w:r>
            <w:r w:rsidRPr="004421BA">
              <w:rPr>
                <w:color w:val="000000"/>
                <w:lang w:val="fr-FR" w:eastAsia="fr-FR"/>
              </w:rPr>
              <w:t>87</w:t>
            </w:r>
          </w:p>
        </w:tc>
        <w:tc>
          <w:tcPr>
            <w:tcW w:w="976" w:type="dxa"/>
            <w:tcBorders>
              <w:top w:val="single" w:sz="4" w:space="0" w:color="8EA9DB"/>
              <w:left w:val="nil"/>
              <w:bottom w:val="single" w:sz="4" w:space="0" w:color="auto"/>
              <w:right w:val="single" w:sz="4" w:space="0" w:color="auto"/>
            </w:tcBorders>
            <w:shd w:val="clear" w:color="D9E1F2" w:fill="D9E1F2"/>
            <w:noWrap/>
            <w:vAlign w:val="bottom"/>
            <w:hideMark/>
          </w:tcPr>
          <w:p w14:paraId="60EEEE1D" w14:textId="09CBEFDE" w:rsidR="005F4294" w:rsidRPr="004421BA" w:rsidRDefault="005F4294" w:rsidP="00600F5D">
            <w:pPr>
              <w:keepNext/>
              <w:jc w:val="center"/>
              <w:rPr>
                <w:b/>
                <w:bCs/>
                <w:color w:val="000000"/>
                <w:lang w:val="fr-FR" w:eastAsia="fr-FR"/>
              </w:rPr>
            </w:pPr>
            <w:r w:rsidRPr="004421BA">
              <w:rPr>
                <w:b/>
                <w:bCs/>
                <w:color w:val="000000"/>
                <w:lang w:val="fr-FR" w:eastAsia="fr-FR"/>
              </w:rPr>
              <w:t>394</w:t>
            </w:r>
            <w:r w:rsidR="001379CB" w:rsidRPr="004421BA">
              <w:rPr>
                <w:b/>
                <w:bCs/>
                <w:color w:val="000000"/>
                <w:lang w:val="fr-FR" w:eastAsia="fr-FR"/>
              </w:rPr>
              <w:t>.</w:t>
            </w:r>
            <w:r w:rsidRPr="004421BA">
              <w:rPr>
                <w:b/>
                <w:bCs/>
                <w:color w:val="000000"/>
                <w:lang w:val="fr-FR" w:eastAsia="fr-FR"/>
              </w:rPr>
              <w:t>41</w:t>
            </w:r>
          </w:p>
        </w:tc>
      </w:tr>
    </w:tbl>
    <w:p w14:paraId="2F81DB6D" w14:textId="7151B132" w:rsidR="008E5C70" w:rsidRDefault="00600F5D" w:rsidP="00600F5D">
      <w:pPr>
        <w:pStyle w:val="Lgende"/>
        <w:jc w:val="center"/>
        <w:rPr>
          <w:lang w:val="fr-FR"/>
        </w:rPr>
      </w:pPr>
      <w:r>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r w:rsidR="00881DA6">
        <w:rPr>
          <w:noProof/>
        </w:rPr>
        <w:t>1</w:t>
      </w:r>
      <w:r>
        <w:rPr>
          <w:color w:val="2B579A"/>
          <w:shd w:val="clear" w:color="auto" w:fill="E6E6E6"/>
        </w:rPr>
        <w:fldChar w:fldCharType="end"/>
      </w:r>
      <w:r>
        <w:rPr>
          <w:noProof/>
        </w:rPr>
        <w:t>: Energy sources individual evaluation examples</w:t>
      </w:r>
    </w:p>
    <w:p w14:paraId="38E85DAC" w14:textId="0340F8A8" w:rsidR="004A215D" w:rsidRPr="00E75AB6" w:rsidRDefault="00A14438" w:rsidP="009846BE">
      <w:pPr>
        <w:pStyle w:val="Els-body-text"/>
        <w:rPr>
          <w:lang w:val="en-GB"/>
        </w:rPr>
      </w:pPr>
      <w:r>
        <w:rPr>
          <w:lang w:val="en-GB"/>
        </w:rPr>
        <w:t>The</w:t>
      </w:r>
      <w:r w:rsidR="004A33B7">
        <w:rPr>
          <w:lang w:val="en-GB"/>
        </w:rPr>
        <w:t xml:space="preserve"> impact of distance for gas production </w:t>
      </w:r>
      <w:r w:rsidR="00B068D3">
        <w:rPr>
          <w:lang w:val="en-GB"/>
        </w:rPr>
        <w:t>facilities</w:t>
      </w:r>
      <w:r w:rsidR="004A33B7">
        <w:rPr>
          <w:lang w:val="en-GB"/>
        </w:rPr>
        <w:t xml:space="preserve"> is </w:t>
      </w:r>
      <w:r>
        <w:rPr>
          <w:lang w:val="en-GB"/>
        </w:rPr>
        <w:t>noticeably</w:t>
      </w:r>
      <w:r w:rsidR="004A33B7">
        <w:rPr>
          <w:lang w:val="en-GB"/>
        </w:rPr>
        <w:t xml:space="preserve"> smaller </w:t>
      </w:r>
      <w:r w:rsidR="00E32D97">
        <w:rPr>
          <w:lang w:val="en-GB"/>
        </w:rPr>
        <w:t xml:space="preserve">than for electricity production </w:t>
      </w:r>
      <w:r w:rsidR="00B068D3">
        <w:rPr>
          <w:lang w:val="en-GB"/>
        </w:rPr>
        <w:t>facilities</w:t>
      </w:r>
      <w:r w:rsidR="00E32D97">
        <w:rPr>
          <w:lang w:val="en-GB"/>
        </w:rPr>
        <w:t>.</w:t>
      </w:r>
      <w:r w:rsidR="005D5254">
        <w:rPr>
          <w:lang w:val="en-GB"/>
        </w:rPr>
        <w:t xml:space="preserve"> This is </w:t>
      </w:r>
      <w:r>
        <w:rPr>
          <w:lang w:val="en-GB"/>
        </w:rPr>
        <w:t>because</w:t>
      </w:r>
      <w:r w:rsidR="005D5254">
        <w:rPr>
          <w:lang w:val="en-GB"/>
        </w:rPr>
        <w:t xml:space="preserve"> losses </w:t>
      </w:r>
      <w:r w:rsidR="00DA641A">
        <w:rPr>
          <w:lang w:val="en-GB"/>
        </w:rPr>
        <w:t xml:space="preserve">on the </w:t>
      </w:r>
      <w:r w:rsidR="00EC6F86">
        <w:rPr>
          <w:lang w:val="en-GB"/>
        </w:rPr>
        <w:t xml:space="preserve">French </w:t>
      </w:r>
      <w:r w:rsidR="00DA641A">
        <w:rPr>
          <w:lang w:val="en-GB"/>
        </w:rPr>
        <w:t xml:space="preserve">electricity </w:t>
      </w:r>
      <w:r w:rsidR="00EC6F86">
        <w:rPr>
          <w:lang w:val="en-GB"/>
        </w:rPr>
        <w:t xml:space="preserve">network </w:t>
      </w:r>
      <w:r w:rsidR="004054D2">
        <w:rPr>
          <w:lang w:val="en-GB"/>
        </w:rPr>
        <w:t>(&gt;10</w:t>
      </w:r>
      <w:r w:rsidR="00943715">
        <w:rPr>
          <w:lang w:val="en-GB"/>
        </w:rPr>
        <w:t>,</w:t>
      </w:r>
      <w:r w:rsidR="004054D2">
        <w:rPr>
          <w:lang w:val="en-GB"/>
        </w:rPr>
        <w:t xml:space="preserve">000 kWh/y) </w:t>
      </w:r>
      <w:r w:rsidR="00EC6F86">
        <w:rPr>
          <w:lang w:val="en-GB"/>
        </w:rPr>
        <w:t>are significantly higher</w:t>
      </w:r>
      <w:r w:rsidR="006641BA">
        <w:rPr>
          <w:lang w:val="en-GB"/>
        </w:rPr>
        <w:t xml:space="preserve"> </w:t>
      </w:r>
      <w:r w:rsidR="004054D2">
        <w:rPr>
          <w:lang w:val="en-GB"/>
        </w:rPr>
        <w:t xml:space="preserve">than </w:t>
      </w:r>
      <w:r w:rsidR="00D83832">
        <w:rPr>
          <w:lang w:val="en-GB"/>
        </w:rPr>
        <w:t>on</w:t>
      </w:r>
      <w:r w:rsidR="004054D2">
        <w:rPr>
          <w:lang w:val="en-GB"/>
        </w:rPr>
        <w:t xml:space="preserve"> the gas network (</w:t>
      </w:r>
      <w:r w:rsidR="008B4394">
        <w:rPr>
          <w:lang w:val="en-GB"/>
        </w:rPr>
        <w:t>ca. 35 kWh/y</w:t>
      </w:r>
      <w:r w:rsidR="003335C7">
        <w:rPr>
          <w:lang w:val="en-GB"/>
        </w:rPr>
        <w:t>).</w:t>
      </w:r>
    </w:p>
    <w:p w14:paraId="79CB118D" w14:textId="77777777" w:rsidR="008E5C70" w:rsidRPr="00A94774" w:rsidRDefault="008E5C70" w:rsidP="008E5C70">
      <w:pPr>
        <w:pStyle w:val="Els-2ndorder-head"/>
      </w:pPr>
      <w:r>
        <w:t>Global territorial energy mix carbon evaluation</w:t>
      </w:r>
    </w:p>
    <w:p w14:paraId="7E6D57A3" w14:textId="61BC26B0" w:rsidR="008E5C70" w:rsidRDefault="008E5C70" w:rsidP="008E5C70">
      <w:pPr>
        <w:pStyle w:val="Els-body-text"/>
        <w:rPr>
          <w:lang w:val="en-GB"/>
        </w:rPr>
      </w:pPr>
      <w:r w:rsidRPr="00DD67F3">
        <w:rPr>
          <w:lang w:val="en-GB"/>
        </w:rPr>
        <w:t xml:space="preserve">Once all energy sources </w:t>
      </w:r>
      <w:r>
        <w:rPr>
          <w:lang w:val="en-GB"/>
        </w:rPr>
        <w:t xml:space="preserve">have been individually evaluated, </w:t>
      </w:r>
      <w:r w:rsidR="00996AA8">
        <w:rPr>
          <w:lang w:val="en-GB"/>
        </w:rPr>
        <w:t>all criteria and the</w:t>
      </w:r>
      <w:r>
        <w:rPr>
          <w:lang w:val="en-GB"/>
        </w:rPr>
        <w:t xml:space="preserve"> indicator were summed to obtain the carbon evaluation for the territorial energy mix</w:t>
      </w:r>
      <w:r w:rsidR="00996AA8">
        <w:rPr>
          <w:lang w:val="en-GB"/>
        </w:rPr>
        <w:t xml:space="preserve">, as well as a </w:t>
      </w:r>
      <w:r w:rsidR="00ED3D91">
        <w:rPr>
          <w:lang w:val="en-GB"/>
        </w:rPr>
        <w:t xml:space="preserve">compilation </w:t>
      </w:r>
      <w:r w:rsidR="00646864">
        <w:rPr>
          <w:lang w:val="en-GB"/>
        </w:rPr>
        <w:t>each</w:t>
      </w:r>
      <w:r w:rsidR="00394347">
        <w:rPr>
          <w:lang w:val="en-GB"/>
        </w:rPr>
        <w:t xml:space="preserve"> </w:t>
      </w:r>
      <w:r w:rsidR="00996AA8">
        <w:rPr>
          <w:lang w:val="en-GB"/>
        </w:rPr>
        <w:t xml:space="preserve">energy </w:t>
      </w:r>
      <w:r w:rsidR="00394347">
        <w:rPr>
          <w:lang w:val="en-GB"/>
        </w:rPr>
        <w:t>sector (Table 2)</w:t>
      </w:r>
      <w:r w:rsidR="001B062D">
        <w:rPr>
          <w:lang w:val="en-GB"/>
        </w:rPr>
        <w:t>.</w:t>
      </w:r>
    </w:p>
    <w:p w14:paraId="5111E1EA" w14:textId="77777777" w:rsidR="001B062D" w:rsidRPr="00B068D3" w:rsidRDefault="001B062D" w:rsidP="008E5C70">
      <w:pPr>
        <w:pStyle w:val="Els-body-text"/>
        <w:rPr>
          <w:sz w:val="18"/>
          <w:szCs w:val="18"/>
          <w:lang w:val="en-GB"/>
        </w:rPr>
      </w:pPr>
    </w:p>
    <w:tbl>
      <w:tblPr>
        <w:tblW w:w="7076" w:type="dxa"/>
        <w:jc w:val="center"/>
        <w:tblCellMar>
          <w:left w:w="70" w:type="dxa"/>
          <w:right w:w="70" w:type="dxa"/>
        </w:tblCellMar>
        <w:tblLook w:val="04A0" w:firstRow="1" w:lastRow="0" w:firstColumn="1" w:lastColumn="0" w:noHBand="0" w:noVBand="1"/>
      </w:tblPr>
      <w:tblGrid>
        <w:gridCol w:w="1232"/>
        <w:gridCol w:w="988"/>
        <w:gridCol w:w="1216"/>
        <w:gridCol w:w="1216"/>
        <w:gridCol w:w="1216"/>
        <w:gridCol w:w="1208"/>
      </w:tblGrid>
      <w:tr w:rsidR="006670E0" w:rsidRPr="004421BA" w14:paraId="6FDAE986" w14:textId="77777777" w:rsidTr="004421BA">
        <w:trPr>
          <w:trHeight w:val="290"/>
          <w:jc w:val="center"/>
        </w:trPr>
        <w:tc>
          <w:tcPr>
            <w:tcW w:w="1232" w:type="dxa"/>
            <w:tcBorders>
              <w:top w:val="single" w:sz="4" w:space="0" w:color="auto"/>
              <w:left w:val="single" w:sz="4" w:space="0" w:color="auto"/>
              <w:bottom w:val="single" w:sz="4" w:space="0" w:color="auto"/>
              <w:right w:val="nil"/>
            </w:tcBorders>
            <w:shd w:val="clear" w:color="4472C4" w:fill="4472C4"/>
            <w:noWrap/>
            <w:vAlign w:val="bottom"/>
            <w:hideMark/>
          </w:tcPr>
          <w:p w14:paraId="06BFB9F0" w14:textId="77777777" w:rsidR="006670E0" w:rsidRPr="004421BA" w:rsidRDefault="006670E0" w:rsidP="00B62DCE">
            <w:pPr>
              <w:jc w:val="center"/>
              <w:rPr>
                <w:b/>
                <w:bCs/>
                <w:color w:val="FFFFFF"/>
                <w:lang w:val="fr-FR" w:eastAsia="fr-FR"/>
              </w:rPr>
            </w:pPr>
            <w:proofErr w:type="spellStart"/>
            <w:r w:rsidRPr="004421BA">
              <w:rPr>
                <w:b/>
                <w:bCs/>
                <w:color w:val="FFFFFF"/>
                <w:lang w:val="fr-FR" w:eastAsia="fr-FR"/>
              </w:rPr>
              <w:t>Sector</w:t>
            </w:r>
            <w:proofErr w:type="spellEnd"/>
          </w:p>
        </w:tc>
        <w:tc>
          <w:tcPr>
            <w:tcW w:w="988" w:type="dxa"/>
            <w:tcBorders>
              <w:top w:val="single" w:sz="4" w:space="0" w:color="auto"/>
              <w:left w:val="nil"/>
              <w:bottom w:val="single" w:sz="4" w:space="0" w:color="auto"/>
              <w:right w:val="nil"/>
            </w:tcBorders>
            <w:shd w:val="clear" w:color="4472C4" w:fill="4472C4"/>
            <w:vAlign w:val="bottom"/>
          </w:tcPr>
          <w:p w14:paraId="3EAAFFF1" w14:textId="6B7F25BE" w:rsidR="006670E0" w:rsidRPr="004421BA" w:rsidRDefault="004421BA" w:rsidP="004421BA">
            <w:pPr>
              <w:jc w:val="center"/>
              <w:rPr>
                <w:b/>
                <w:bCs/>
                <w:color w:val="FFFFFF"/>
                <w:lang w:val="fr-FR" w:eastAsia="fr-FR"/>
              </w:rPr>
            </w:pPr>
            <w:r>
              <w:rPr>
                <w:b/>
                <w:bCs/>
                <w:color w:val="FFFFFF"/>
                <w:lang w:val="fr-FR" w:eastAsia="fr-FR"/>
              </w:rPr>
              <w:t>Count</w:t>
            </w:r>
          </w:p>
        </w:tc>
        <w:tc>
          <w:tcPr>
            <w:tcW w:w="1216" w:type="dxa"/>
            <w:tcBorders>
              <w:top w:val="single" w:sz="4" w:space="0" w:color="auto"/>
              <w:left w:val="nil"/>
              <w:bottom w:val="single" w:sz="4" w:space="0" w:color="auto"/>
              <w:right w:val="nil"/>
            </w:tcBorders>
            <w:shd w:val="clear" w:color="4472C4" w:fill="4472C4"/>
            <w:noWrap/>
            <w:vAlign w:val="bottom"/>
            <w:hideMark/>
          </w:tcPr>
          <w:p w14:paraId="044CEBA8" w14:textId="7D01D368" w:rsidR="006670E0" w:rsidRPr="004421BA" w:rsidRDefault="006670E0" w:rsidP="00B62DCE">
            <w:pPr>
              <w:jc w:val="center"/>
              <w:rPr>
                <w:b/>
                <w:bCs/>
                <w:color w:val="FFFFFF"/>
                <w:lang w:val="fr-FR" w:eastAsia="fr-FR"/>
              </w:rPr>
            </w:pPr>
            <w:r w:rsidRPr="004421BA">
              <w:rPr>
                <w:b/>
                <w:bCs/>
                <w:color w:val="FFFFFF"/>
                <w:lang w:val="fr-FR" w:eastAsia="fr-FR"/>
              </w:rPr>
              <w:t>CF</w:t>
            </w:r>
            <w:r w:rsidRPr="004421BA">
              <w:rPr>
                <w:b/>
                <w:bCs/>
                <w:color w:val="FFFFFF"/>
                <w:vertAlign w:val="subscript"/>
                <w:lang w:val="fr-FR" w:eastAsia="fr-FR"/>
              </w:rPr>
              <w:t>ES</w:t>
            </w:r>
          </w:p>
        </w:tc>
        <w:tc>
          <w:tcPr>
            <w:tcW w:w="1216" w:type="dxa"/>
            <w:tcBorders>
              <w:top w:val="single" w:sz="4" w:space="0" w:color="auto"/>
              <w:left w:val="nil"/>
              <w:bottom w:val="single" w:sz="4" w:space="0" w:color="auto"/>
              <w:right w:val="nil"/>
            </w:tcBorders>
            <w:shd w:val="clear" w:color="4472C4" w:fill="4472C4"/>
            <w:noWrap/>
            <w:vAlign w:val="bottom"/>
            <w:hideMark/>
          </w:tcPr>
          <w:p w14:paraId="15F939BE" w14:textId="77777777" w:rsidR="006670E0" w:rsidRPr="004421BA" w:rsidRDefault="006670E0" w:rsidP="00B62DCE">
            <w:pPr>
              <w:jc w:val="center"/>
              <w:rPr>
                <w:b/>
                <w:bCs/>
                <w:color w:val="FFFFFF"/>
                <w:lang w:val="fr-FR" w:eastAsia="fr-FR"/>
              </w:rPr>
            </w:pPr>
            <w:r w:rsidRPr="004421BA">
              <w:rPr>
                <w:b/>
                <w:bCs/>
                <w:color w:val="FFFFFF"/>
                <w:lang w:val="fr-FR" w:eastAsia="fr-FR"/>
              </w:rPr>
              <w:t>CF</w:t>
            </w:r>
            <w:r w:rsidRPr="004421BA">
              <w:rPr>
                <w:b/>
                <w:bCs/>
                <w:color w:val="FFFFFF"/>
                <w:vertAlign w:val="subscript"/>
                <w:lang w:val="fr-FR" w:eastAsia="fr-FR"/>
              </w:rPr>
              <w:t>U</w:t>
            </w:r>
          </w:p>
        </w:tc>
        <w:tc>
          <w:tcPr>
            <w:tcW w:w="1216" w:type="dxa"/>
            <w:tcBorders>
              <w:top w:val="single" w:sz="4" w:space="0" w:color="auto"/>
              <w:left w:val="nil"/>
              <w:bottom w:val="single" w:sz="4" w:space="0" w:color="auto"/>
              <w:right w:val="nil"/>
            </w:tcBorders>
            <w:shd w:val="clear" w:color="4472C4" w:fill="4472C4"/>
            <w:noWrap/>
            <w:vAlign w:val="bottom"/>
            <w:hideMark/>
          </w:tcPr>
          <w:p w14:paraId="1528D9DC" w14:textId="77777777" w:rsidR="006670E0" w:rsidRPr="004421BA" w:rsidRDefault="006670E0" w:rsidP="00B62DCE">
            <w:pPr>
              <w:jc w:val="center"/>
              <w:rPr>
                <w:b/>
                <w:bCs/>
                <w:color w:val="FFFFFF"/>
                <w:lang w:val="fr-FR" w:eastAsia="fr-FR"/>
              </w:rPr>
            </w:pPr>
            <w:r w:rsidRPr="004421BA">
              <w:rPr>
                <w:b/>
                <w:bCs/>
                <w:color w:val="FFFFFF"/>
                <w:lang w:val="fr-FR" w:eastAsia="fr-FR"/>
              </w:rPr>
              <w:t>CF</w:t>
            </w:r>
            <w:r w:rsidRPr="004421BA">
              <w:rPr>
                <w:b/>
                <w:bCs/>
                <w:color w:val="FFFFFF"/>
                <w:vertAlign w:val="subscript"/>
                <w:lang w:val="fr-FR" w:eastAsia="fr-FR"/>
              </w:rPr>
              <w:t>D</w:t>
            </w:r>
          </w:p>
        </w:tc>
        <w:tc>
          <w:tcPr>
            <w:tcW w:w="1208" w:type="dxa"/>
            <w:tcBorders>
              <w:top w:val="single" w:sz="4" w:space="0" w:color="auto"/>
              <w:left w:val="nil"/>
              <w:bottom w:val="single" w:sz="4" w:space="0" w:color="auto"/>
              <w:right w:val="single" w:sz="4" w:space="0" w:color="auto"/>
            </w:tcBorders>
            <w:shd w:val="clear" w:color="4472C4" w:fill="4472C4"/>
            <w:noWrap/>
            <w:vAlign w:val="bottom"/>
            <w:hideMark/>
          </w:tcPr>
          <w:p w14:paraId="5B3A8A5D" w14:textId="77777777" w:rsidR="006670E0" w:rsidRPr="004421BA" w:rsidRDefault="006670E0" w:rsidP="00B62DCE">
            <w:pPr>
              <w:jc w:val="center"/>
              <w:rPr>
                <w:b/>
                <w:bCs/>
                <w:color w:val="FFFFFF"/>
                <w:lang w:val="fr-FR" w:eastAsia="fr-FR"/>
              </w:rPr>
            </w:pPr>
            <w:r w:rsidRPr="004421BA">
              <w:rPr>
                <w:b/>
                <w:bCs/>
                <w:color w:val="FFFFFF"/>
                <w:lang w:val="fr-FR" w:eastAsia="fr-FR"/>
              </w:rPr>
              <w:t>CF</w:t>
            </w:r>
            <w:r w:rsidRPr="004421BA">
              <w:rPr>
                <w:b/>
                <w:bCs/>
                <w:color w:val="FFFFFF"/>
                <w:vertAlign w:val="subscript"/>
                <w:lang w:val="fr-FR" w:eastAsia="fr-FR"/>
              </w:rPr>
              <w:t>S</w:t>
            </w:r>
          </w:p>
        </w:tc>
      </w:tr>
      <w:tr w:rsidR="006670E0" w:rsidRPr="004421BA" w14:paraId="78C2B548" w14:textId="77777777" w:rsidTr="004421BA">
        <w:trPr>
          <w:trHeight w:val="290"/>
          <w:jc w:val="center"/>
        </w:trPr>
        <w:tc>
          <w:tcPr>
            <w:tcW w:w="1232" w:type="dxa"/>
            <w:tcBorders>
              <w:top w:val="single" w:sz="4" w:space="0" w:color="8EA9DB"/>
              <w:left w:val="single" w:sz="4" w:space="0" w:color="auto"/>
              <w:bottom w:val="single" w:sz="4" w:space="0" w:color="8EA9DB"/>
              <w:right w:val="nil"/>
            </w:tcBorders>
            <w:shd w:val="clear" w:color="D9E1F2" w:fill="D9E1F2"/>
            <w:noWrap/>
            <w:vAlign w:val="bottom"/>
            <w:hideMark/>
          </w:tcPr>
          <w:p w14:paraId="3C3DAE6B" w14:textId="77777777" w:rsidR="006670E0" w:rsidRPr="004421BA" w:rsidRDefault="006670E0" w:rsidP="00B62DCE">
            <w:pPr>
              <w:jc w:val="center"/>
              <w:rPr>
                <w:color w:val="000000"/>
                <w:lang w:val="fr-FR" w:eastAsia="fr-FR"/>
              </w:rPr>
            </w:pPr>
            <w:r w:rsidRPr="004421BA">
              <w:rPr>
                <w:color w:val="000000"/>
                <w:lang w:val="fr-FR" w:eastAsia="fr-FR"/>
              </w:rPr>
              <w:t>Solar</w:t>
            </w:r>
          </w:p>
        </w:tc>
        <w:tc>
          <w:tcPr>
            <w:tcW w:w="988" w:type="dxa"/>
            <w:tcBorders>
              <w:top w:val="single" w:sz="4" w:space="0" w:color="8EA9DB"/>
              <w:left w:val="nil"/>
              <w:bottom w:val="single" w:sz="4" w:space="0" w:color="8EA9DB"/>
              <w:right w:val="nil"/>
            </w:tcBorders>
            <w:shd w:val="clear" w:color="D9E1F2" w:fill="D9E1F2"/>
            <w:vAlign w:val="bottom"/>
          </w:tcPr>
          <w:p w14:paraId="509484D3" w14:textId="0029667D" w:rsidR="006670E0" w:rsidRPr="004421BA" w:rsidRDefault="009A0D8C" w:rsidP="004421BA">
            <w:pPr>
              <w:jc w:val="center"/>
              <w:rPr>
                <w:color w:val="000000"/>
                <w:lang w:val="fr-FR" w:eastAsia="fr-FR"/>
              </w:rPr>
            </w:pPr>
            <w:r w:rsidRPr="004421BA">
              <w:rPr>
                <w:color w:val="000000"/>
                <w:lang w:val="fr-FR" w:eastAsia="fr-FR"/>
              </w:rPr>
              <w:t>284</w:t>
            </w:r>
          </w:p>
        </w:tc>
        <w:tc>
          <w:tcPr>
            <w:tcW w:w="1216" w:type="dxa"/>
            <w:tcBorders>
              <w:top w:val="single" w:sz="4" w:space="0" w:color="8EA9DB"/>
              <w:left w:val="nil"/>
              <w:bottom w:val="single" w:sz="4" w:space="0" w:color="8EA9DB"/>
              <w:right w:val="nil"/>
            </w:tcBorders>
            <w:shd w:val="clear" w:color="D9E1F2" w:fill="D9E1F2"/>
            <w:noWrap/>
            <w:vAlign w:val="bottom"/>
            <w:hideMark/>
          </w:tcPr>
          <w:p w14:paraId="255918B6" w14:textId="1F290FC1" w:rsidR="006670E0" w:rsidRPr="004421BA" w:rsidRDefault="006670E0" w:rsidP="00B62DCE">
            <w:pPr>
              <w:jc w:val="center"/>
              <w:rPr>
                <w:color w:val="000000"/>
                <w:lang w:val="fr-FR" w:eastAsia="fr-FR"/>
              </w:rPr>
            </w:pPr>
            <w:r w:rsidRPr="004421BA">
              <w:rPr>
                <w:color w:val="000000"/>
                <w:lang w:val="fr-FR" w:eastAsia="fr-FR"/>
              </w:rPr>
              <w:t>3050</w:t>
            </w:r>
            <w:r w:rsidR="005C6B51">
              <w:rPr>
                <w:color w:val="000000"/>
                <w:lang w:val="fr-FR" w:eastAsia="fr-FR"/>
              </w:rPr>
              <w:t>.</w:t>
            </w:r>
            <w:r w:rsidRPr="004421BA">
              <w:rPr>
                <w:color w:val="000000"/>
                <w:lang w:val="fr-FR" w:eastAsia="fr-FR"/>
              </w:rPr>
              <w:t>11</w:t>
            </w:r>
          </w:p>
        </w:tc>
        <w:tc>
          <w:tcPr>
            <w:tcW w:w="1216" w:type="dxa"/>
            <w:tcBorders>
              <w:top w:val="single" w:sz="4" w:space="0" w:color="8EA9DB"/>
              <w:left w:val="nil"/>
              <w:bottom w:val="single" w:sz="4" w:space="0" w:color="8EA9DB"/>
              <w:right w:val="nil"/>
            </w:tcBorders>
            <w:shd w:val="clear" w:color="D9E1F2" w:fill="D9E1F2"/>
            <w:noWrap/>
            <w:vAlign w:val="bottom"/>
            <w:hideMark/>
          </w:tcPr>
          <w:p w14:paraId="6615CFC9" w14:textId="054E20D4" w:rsidR="006670E0" w:rsidRPr="004421BA" w:rsidRDefault="006670E0" w:rsidP="00B62DCE">
            <w:pPr>
              <w:jc w:val="center"/>
              <w:rPr>
                <w:color w:val="000000"/>
                <w:lang w:val="fr-FR" w:eastAsia="fr-FR"/>
              </w:rPr>
            </w:pPr>
            <w:r w:rsidRPr="004421BA">
              <w:rPr>
                <w:color w:val="000000"/>
                <w:lang w:val="fr-FR" w:eastAsia="fr-FR"/>
              </w:rPr>
              <w:t>32</w:t>
            </w:r>
            <w:r w:rsidR="005C6B51">
              <w:rPr>
                <w:color w:val="000000"/>
                <w:lang w:val="fr-FR" w:eastAsia="fr-FR"/>
              </w:rPr>
              <w:t>.</w:t>
            </w:r>
            <w:r w:rsidRPr="004421BA">
              <w:rPr>
                <w:color w:val="000000"/>
                <w:lang w:val="fr-FR" w:eastAsia="fr-FR"/>
              </w:rPr>
              <w:t>94</w:t>
            </w:r>
          </w:p>
        </w:tc>
        <w:tc>
          <w:tcPr>
            <w:tcW w:w="1216" w:type="dxa"/>
            <w:tcBorders>
              <w:top w:val="single" w:sz="4" w:space="0" w:color="8EA9DB"/>
              <w:left w:val="nil"/>
              <w:bottom w:val="single" w:sz="4" w:space="0" w:color="8EA9DB"/>
              <w:right w:val="nil"/>
            </w:tcBorders>
            <w:shd w:val="clear" w:color="D9E1F2" w:fill="D9E1F2"/>
            <w:noWrap/>
            <w:vAlign w:val="bottom"/>
            <w:hideMark/>
          </w:tcPr>
          <w:p w14:paraId="6DD151C5" w14:textId="214E23F5" w:rsidR="006670E0" w:rsidRPr="004421BA" w:rsidRDefault="006670E0" w:rsidP="00B62DCE">
            <w:pPr>
              <w:jc w:val="center"/>
              <w:rPr>
                <w:color w:val="000000"/>
                <w:lang w:val="fr-FR" w:eastAsia="fr-FR"/>
              </w:rPr>
            </w:pPr>
            <w:r w:rsidRPr="004421BA">
              <w:rPr>
                <w:color w:val="000000"/>
                <w:lang w:val="fr-FR" w:eastAsia="fr-FR"/>
              </w:rPr>
              <w:t>69</w:t>
            </w:r>
            <w:r w:rsidR="005C6B51">
              <w:rPr>
                <w:color w:val="000000"/>
                <w:lang w:val="fr-FR" w:eastAsia="fr-FR"/>
              </w:rPr>
              <w:t>,</w:t>
            </w:r>
            <w:r w:rsidRPr="004421BA">
              <w:rPr>
                <w:color w:val="000000"/>
                <w:lang w:val="fr-FR" w:eastAsia="fr-FR"/>
              </w:rPr>
              <w:t>912</w:t>
            </w:r>
            <w:r w:rsidR="005C6B51">
              <w:rPr>
                <w:color w:val="000000"/>
                <w:lang w:val="fr-FR" w:eastAsia="fr-FR"/>
              </w:rPr>
              <w:t>.</w:t>
            </w:r>
            <w:r w:rsidRPr="004421BA">
              <w:rPr>
                <w:color w:val="000000"/>
                <w:lang w:val="fr-FR" w:eastAsia="fr-FR"/>
              </w:rPr>
              <w:t>86</w:t>
            </w:r>
          </w:p>
        </w:tc>
        <w:tc>
          <w:tcPr>
            <w:tcW w:w="1208" w:type="dxa"/>
            <w:tcBorders>
              <w:top w:val="single" w:sz="4" w:space="0" w:color="8EA9DB"/>
              <w:left w:val="nil"/>
              <w:bottom w:val="single" w:sz="4" w:space="0" w:color="8EA9DB"/>
              <w:right w:val="single" w:sz="4" w:space="0" w:color="auto"/>
            </w:tcBorders>
            <w:shd w:val="clear" w:color="D9E1F2" w:fill="D9E1F2"/>
            <w:noWrap/>
            <w:vAlign w:val="bottom"/>
            <w:hideMark/>
          </w:tcPr>
          <w:p w14:paraId="123AE728" w14:textId="4DC637A8" w:rsidR="006670E0" w:rsidRPr="00F7553D" w:rsidRDefault="006670E0" w:rsidP="00B62DCE">
            <w:pPr>
              <w:jc w:val="center"/>
              <w:rPr>
                <w:b/>
                <w:bCs/>
                <w:color w:val="000000"/>
                <w:lang w:val="fr-FR" w:eastAsia="fr-FR"/>
              </w:rPr>
            </w:pPr>
            <w:r w:rsidRPr="00F7553D">
              <w:rPr>
                <w:b/>
                <w:bCs/>
                <w:color w:val="000000"/>
                <w:lang w:val="fr-FR" w:eastAsia="fr-FR"/>
              </w:rPr>
              <w:t>72</w:t>
            </w:r>
            <w:r w:rsidR="005C6B51" w:rsidRPr="00F7553D">
              <w:rPr>
                <w:b/>
                <w:bCs/>
                <w:color w:val="000000"/>
                <w:lang w:val="fr-FR" w:eastAsia="fr-FR"/>
              </w:rPr>
              <w:t>,</w:t>
            </w:r>
            <w:r w:rsidRPr="00F7553D">
              <w:rPr>
                <w:b/>
                <w:bCs/>
                <w:color w:val="000000"/>
                <w:lang w:val="fr-FR" w:eastAsia="fr-FR"/>
              </w:rPr>
              <w:t>995</w:t>
            </w:r>
            <w:r w:rsidR="005C6B51" w:rsidRPr="00F7553D">
              <w:rPr>
                <w:b/>
                <w:bCs/>
                <w:color w:val="000000"/>
                <w:lang w:val="fr-FR" w:eastAsia="fr-FR"/>
              </w:rPr>
              <w:t>.</w:t>
            </w:r>
            <w:r w:rsidRPr="00F7553D">
              <w:rPr>
                <w:b/>
                <w:bCs/>
                <w:color w:val="000000"/>
                <w:lang w:val="fr-FR" w:eastAsia="fr-FR"/>
              </w:rPr>
              <w:t>91</w:t>
            </w:r>
          </w:p>
        </w:tc>
      </w:tr>
      <w:tr w:rsidR="009A0D8C" w:rsidRPr="004421BA" w14:paraId="13F4DE3A" w14:textId="77777777" w:rsidTr="004421BA">
        <w:trPr>
          <w:trHeight w:val="290"/>
          <w:jc w:val="center"/>
        </w:trPr>
        <w:tc>
          <w:tcPr>
            <w:tcW w:w="1232" w:type="dxa"/>
            <w:tcBorders>
              <w:top w:val="single" w:sz="4" w:space="0" w:color="8EA9DB"/>
              <w:left w:val="single" w:sz="4" w:space="0" w:color="auto"/>
              <w:bottom w:val="single" w:sz="4" w:space="0" w:color="8EA9DB"/>
              <w:right w:val="nil"/>
            </w:tcBorders>
            <w:shd w:val="clear" w:color="auto" w:fill="auto"/>
            <w:noWrap/>
            <w:vAlign w:val="bottom"/>
            <w:hideMark/>
          </w:tcPr>
          <w:p w14:paraId="60B17D7F" w14:textId="77777777" w:rsidR="009A0D8C" w:rsidRPr="004421BA" w:rsidRDefault="009A0D8C" w:rsidP="009A0D8C">
            <w:pPr>
              <w:jc w:val="center"/>
              <w:rPr>
                <w:color w:val="000000"/>
                <w:lang w:val="fr-FR" w:eastAsia="fr-FR"/>
              </w:rPr>
            </w:pPr>
            <w:r w:rsidRPr="004421BA">
              <w:rPr>
                <w:color w:val="000000"/>
                <w:lang w:val="fr-FR" w:eastAsia="fr-FR"/>
              </w:rPr>
              <w:t>Wind</w:t>
            </w:r>
          </w:p>
        </w:tc>
        <w:tc>
          <w:tcPr>
            <w:tcW w:w="988" w:type="dxa"/>
            <w:tcBorders>
              <w:top w:val="single" w:sz="4" w:space="0" w:color="8EA9DB"/>
              <w:left w:val="nil"/>
              <w:bottom w:val="single" w:sz="4" w:space="0" w:color="8EA9DB"/>
              <w:right w:val="nil"/>
            </w:tcBorders>
            <w:vAlign w:val="bottom"/>
          </w:tcPr>
          <w:p w14:paraId="412FB74C" w14:textId="6911C242" w:rsidR="009A0D8C" w:rsidRPr="004421BA" w:rsidRDefault="009A0D8C" w:rsidP="004421BA">
            <w:pPr>
              <w:jc w:val="center"/>
              <w:rPr>
                <w:color w:val="000000"/>
                <w:lang w:val="fr-FR" w:eastAsia="fr-FR"/>
              </w:rPr>
            </w:pPr>
            <w:r w:rsidRPr="004421BA">
              <w:rPr>
                <w:color w:val="000000"/>
                <w:lang w:val="fr-FR" w:eastAsia="fr-FR"/>
              </w:rPr>
              <w:t>71</w:t>
            </w:r>
          </w:p>
        </w:tc>
        <w:tc>
          <w:tcPr>
            <w:tcW w:w="1216" w:type="dxa"/>
            <w:tcBorders>
              <w:top w:val="single" w:sz="4" w:space="0" w:color="8EA9DB"/>
              <w:left w:val="nil"/>
              <w:bottom w:val="single" w:sz="4" w:space="0" w:color="8EA9DB"/>
              <w:right w:val="nil"/>
            </w:tcBorders>
            <w:shd w:val="clear" w:color="auto" w:fill="auto"/>
            <w:noWrap/>
            <w:vAlign w:val="bottom"/>
            <w:hideMark/>
          </w:tcPr>
          <w:p w14:paraId="1428522C" w14:textId="48521713" w:rsidR="009A0D8C" w:rsidRPr="004421BA" w:rsidRDefault="009A0D8C" w:rsidP="009A0D8C">
            <w:pPr>
              <w:jc w:val="center"/>
              <w:rPr>
                <w:color w:val="000000"/>
                <w:lang w:val="fr-FR" w:eastAsia="fr-FR"/>
              </w:rPr>
            </w:pPr>
            <w:r w:rsidRPr="004421BA">
              <w:rPr>
                <w:color w:val="000000"/>
                <w:lang w:val="fr-FR" w:eastAsia="fr-FR"/>
              </w:rPr>
              <w:t>13</w:t>
            </w:r>
            <w:r w:rsidR="005C6B51">
              <w:rPr>
                <w:color w:val="000000"/>
                <w:lang w:val="fr-FR" w:eastAsia="fr-FR"/>
              </w:rPr>
              <w:t>,</w:t>
            </w:r>
            <w:r w:rsidRPr="004421BA">
              <w:rPr>
                <w:color w:val="000000"/>
                <w:lang w:val="fr-FR" w:eastAsia="fr-FR"/>
              </w:rPr>
              <w:t>767</w:t>
            </w:r>
            <w:r w:rsidR="005C6B51">
              <w:rPr>
                <w:color w:val="000000"/>
                <w:lang w:val="fr-FR" w:eastAsia="fr-FR"/>
              </w:rPr>
              <w:t>.</w:t>
            </w:r>
            <w:r w:rsidRPr="004421BA">
              <w:rPr>
                <w:color w:val="000000"/>
                <w:lang w:val="fr-FR" w:eastAsia="fr-FR"/>
              </w:rPr>
              <w:t>24</w:t>
            </w:r>
          </w:p>
        </w:tc>
        <w:tc>
          <w:tcPr>
            <w:tcW w:w="1216" w:type="dxa"/>
            <w:tcBorders>
              <w:top w:val="single" w:sz="4" w:space="0" w:color="8EA9DB"/>
              <w:left w:val="nil"/>
              <w:bottom w:val="single" w:sz="4" w:space="0" w:color="8EA9DB"/>
              <w:right w:val="nil"/>
            </w:tcBorders>
            <w:shd w:val="clear" w:color="auto" w:fill="auto"/>
            <w:noWrap/>
            <w:vAlign w:val="bottom"/>
            <w:hideMark/>
          </w:tcPr>
          <w:p w14:paraId="69E51E13" w14:textId="104C1516" w:rsidR="009A0D8C" w:rsidRPr="004421BA" w:rsidRDefault="009A0D8C" w:rsidP="009A0D8C">
            <w:pPr>
              <w:jc w:val="center"/>
              <w:rPr>
                <w:color w:val="000000"/>
                <w:lang w:val="fr-FR" w:eastAsia="fr-FR"/>
              </w:rPr>
            </w:pPr>
            <w:r w:rsidRPr="004421BA">
              <w:rPr>
                <w:color w:val="000000"/>
                <w:lang w:val="fr-FR" w:eastAsia="fr-FR"/>
              </w:rPr>
              <w:t>12</w:t>
            </w:r>
            <w:r w:rsidR="005C6B51">
              <w:rPr>
                <w:color w:val="000000"/>
                <w:lang w:val="fr-FR" w:eastAsia="fr-FR"/>
              </w:rPr>
              <w:t>.</w:t>
            </w:r>
            <w:r w:rsidRPr="004421BA">
              <w:rPr>
                <w:color w:val="000000"/>
                <w:lang w:val="fr-FR" w:eastAsia="fr-FR"/>
              </w:rPr>
              <w:t>99</w:t>
            </w:r>
          </w:p>
        </w:tc>
        <w:tc>
          <w:tcPr>
            <w:tcW w:w="1216" w:type="dxa"/>
            <w:tcBorders>
              <w:top w:val="single" w:sz="4" w:space="0" w:color="8EA9DB"/>
              <w:left w:val="nil"/>
              <w:bottom w:val="single" w:sz="4" w:space="0" w:color="8EA9DB"/>
              <w:right w:val="nil"/>
            </w:tcBorders>
            <w:shd w:val="clear" w:color="auto" w:fill="auto"/>
            <w:noWrap/>
            <w:vAlign w:val="bottom"/>
            <w:hideMark/>
          </w:tcPr>
          <w:p w14:paraId="15BFB2AB" w14:textId="51D1B705" w:rsidR="009A0D8C" w:rsidRPr="004421BA" w:rsidRDefault="009A0D8C" w:rsidP="009A0D8C">
            <w:pPr>
              <w:jc w:val="center"/>
              <w:rPr>
                <w:color w:val="000000"/>
                <w:lang w:val="fr-FR" w:eastAsia="fr-FR"/>
              </w:rPr>
            </w:pPr>
            <w:r w:rsidRPr="004421BA">
              <w:rPr>
                <w:color w:val="000000"/>
                <w:lang w:val="fr-FR" w:eastAsia="fr-FR"/>
              </w:rPr>
              <w:t>13</w:t>
            </w:r>
            <w:r w:rsidR="005C6B51">
              <w:rPr>
                <w:color w:val="000000"/>
                <w:lang w:val="fr-FR" w:eastAsia="fr-FR"/>
              </w:rPr>
              <w:t>,</w:t>
            </w:r>
            <w:r w:rsidRPr="004421BA">
              <w:rPr>
                <w:color w:val="000000"/>
                <w:lang w:val="fr-FR" w:eastAsia="fr-FR"/>
              </w:rPr>
              <w:t>028</w:t>
            </w:r>
            <w:r w:rsidR="005C6B51">
              <w:rPr>
                <w:color w:val="000000"/>
                <w:lang w:val="fr-FR" w:eastAsia="fr-FR"/>
              </w:rPr>
              <w:t>.</w:t>
            </w:r>
            <w:r w:rsidRPr="004421BA">
              <w:rPr>
                <w:color w:val="000000"/>
                <w:lang w:val="fr-FR" w:eastAsia="fr-FR"/>
              </w:rPr>
              <w:t>07</w:t>
            </w:r>
          </w:p>
        </w:tc>
        <w:tc>
          <w:tcPr>
            <w:tcW w:w="1208" w:type="dxa"/>
            <w:tcBorders>
              <w:top w:val="single" w:sz="4" w:space="0" w:color="8EA9DB"/>
              <w:left w:val="nil"/>
              <w:bottom w:val="single" w:sz="4" w:space="0" w:color="8EA9DB"/>
              <w:right w:val="single" w:sz="4" w:space="0" w:color="auto"/>
            </w:tcBorders>
            <w:shd w:val="clear" w:color="auto" w:fill="auto"/>
            <w:noWrap/>
            <w:vAlign w:val="bottom"/>
            <w:hideMark/>
          </w:tcPr>
          <w:p w14:paraId="763615F2" w14:textId="75672656" w:rsidR="009A0D8C" w:rsidRPr="00F7553D" w:rsidRDefault="009A0D8C" w:rsidP="009A0D8C">
            <w:pPr>
              <w:jc w:val="center"/>
              <w:rPr>
                <w:b/>
                <w:bCs/>
                <w:color w:val="000000"/>
                <w:lang w:val="fr-FR" w:eastAsia="fr-FR"/>
              </w:rPr>
            </w:pPr>
            <w:r w:rsidRPr="00F7553D">
              <w:rPr>
                <w:b/>
                <w:bCs/>
                <w:color w:val="000000"/>
                <w:lang w:val="fr-FR" w:eastAsia="fr-FR"/>
              </w:rPr>
              <w:t>26</w:t>
            </w:r>
            <w:r w:rsidR="005C6B51" w:rsidRPr="00F7553D">
              <w:rPr>
                <w:b/>
                <w:bCs/>
                <w:color w:val="000000"/>
                <w:lang w:val="fr-FR" w:eastAsia="fr-FR"/>
              </w:rPr>
              <w:t>,</w:t>
            </w:r>
            <w:r w:rsidRPr="00F7553D">
              <w:rPr>
                <w:b/>
                <w:bCs/>
                <w:color w:val="000000"/>
                <w:lang w:val="fr-FR" w:eastAsia="fr-FR"/>
              </w:rPr>
              <w:t>808</w:t>
            </w:r>
            <w:r w:rsidR="005C6B51" w:rsidRPr="00F7553D">
              <w:rPr>
                <w:b/>
                <w:bCs/>
                <w:color w:val="000000"/>
                <w:lang w:val="fr-FR" w:eastAsia="fr-FR"/>
              </w:rPr>
              <w:t>.</w:t>
            </w:r>
            <w:r w:rsidRPr="00F7553D">
              <w:rPr>
                <w:b/>
                <w:bCs/>
                <w:color w:val="000000"/>
                <w:lang w:val="fr-FR" w:eastAsia="fr-FR"/>
              </w:rPr>
              <w:t>30</w:t>
            </w:r>
          </w:p>
        </w:tc>
      </w:tr>
      <w:tr w:rsidR="009A0D8C" w:rsidRPr="004421BA" w14:paraId="166CFCE0" w14:textId="77777777" w:rsidTr="004421BA">
        <w:trPr>
          <w:trHeight w:val="290"/>
          <w:jc w:val="center"/>
        </w:trPr>
        <w:tc>
          <w:tcPr>
            <w:tcW w:w="1232" w:type="dxa"/>
            <w:tcBorders>
              <w:top w:val="single" w:sz="4" w:space="0" w:color="8EA9DB"/>
              <w:left w:val="single" w:sz="4" w:space="0" w:color="auto"/>
              <w:bottom w:val="single" w:sz="4" w:space="0" w:color="8EA9DB"/>
              <w:right w:val="nil"/>
            </w:tcBorders>
            <w:shd w:val="clear" w:color="D9E1F2" w:fill="D9E1F2"/>
            <w:noWrap/>
            <w:vAlign w:val="bottom"/>
            <w:hideMark/>
          </w:tcPr>
          <w:p w14:paraId="33FE0D8B" w14:textId="77777777" w:rsidR="009A0D8C" w:rsidRPr="004421BA" w:rsidRDefault="009A0D8C" w:rsidP="009A0D8C">
            <w:pPr>
              <w:jc w:val="center"/>
              <w:rPr>
                <w:color w:val="000000"/>
                <w:lang w:val="fr-FR" w:eastAsia="fr-FR"/>
              </w:rPr>
            </w:pPr>
            <w:proofErr w:type="spellStart"/>
            <w:r w:rsidRPr="004421BA">
              <w:rPr>
                <w:color w:val="000000"/>
                <w:lang w:val="fr-FR" w:eastAsia="fr-FR"/>
              </w:rPr>
              <w:t>Bioenergy</w:t>
            </w:r>
            <w:proofErr w:type="spellEnd"/>
          </w:p>
        </w:tc>
        <w:tc>
          <w:tcPr>
            <w:tcW w:w="988" w:type="dxa"/>
            <w:tcBorders>
              <w:top w:val="single" w:sz="4" w:space="0" w:color="8EA9DB"/>
              <w:left w:val="nil"/>
              <w:bottom w:val="single" w:sz="4" w:space="0" w:color="8EA9DB"/>
              <w:right w:val="nil"/>
            </w:tcBorders>
            <w:shd w:val="clear" w:color="D9E1F2" w:fill="D9E1F2"/>
            <w:vAlign w:val="bottom"/>
          </w:tcPr>
          <w:p w14:paraId="60B0A1B2" w14:textId="695657E2" w:rsidR="009A0D8C" w:rsidRPr="004421BA" w:rsidRDefault="009A0D8C" w:rsidP="004421BA">
            <w:pPr>
              <w:jc w:val="center"/>
              <w:rPr>
                <w:color w:val="000000"/>
                <w:lang w:val="fr-FR" w:eastAsia="fr-FR"/>
              </w:rPr>
            </w:pPr>
            <w:r w:rsidRPr="004421BA">
              <w:rPr>
                <w:color w:val="000000"/>
                <w:lang w:val="fr-FR" w:eastAsia="fr-FR"/>
              </w:rPr>
              <w:t>9</w:t>
            </w:r>
          </w:p>
        </w:tc>
        <w:tc>
          <w:tcPr>
            <w:tcW w:w="1216" w:type="dxa"/>
            <w:tcBorders>
              <w:top w:val="single" w:sz="4" w:space="0" w:color="8EA9DB"/>
              <w:left w:val="nil"/>
              <w:bottom w:val="single" w:sz="4" w:space="0" w:color="8EA9DB"/>
              <w:right w:val="nil"/>
            </w:tcBorders>
            <w:shd w:val="clear" w:color="D9E1F2" w:fill="D9E1F2"/>
            <w:noWrap/>
            <w:vAlign w:val="bottom"/>
            <w:hideMark/>
          </w:tcPr>
          <w:p w14:paraId="345A695C" w14:textId="1136A42F" w:rsidR="009A0D8C" w:rsidRPr="004421BA" w:rsidRDefault="009A0D8C" w:rsidP="009A0D8C">
            <w:pPr>
              <w:jc w:val="center"/>
              <w:rPr>
                <w:color w:val="000000"/>
                <w:lang w:val="fr-FR" w:eastAsia="fr-FR"/>
              </w:rPr>
            </w:pPr>
            <w:r w:rsidRPr="004421BA">
              <w:rPr>
                <w:color w:val="000000"/>
                <w:lang w:val="fr-FR" w:eastAsia="fr-FR"/>
              </w:rPr>
              <w:t>2</w:t>
            </w:r>
            <w:r w:rsidR="005C6B51">
              <w:rPr>
                <w:color w:val="000000"/>
                <w:lang w:val="fr-FR" w:eastAsia="fr-FR"/>
              </w:rPr>
              <w:t>,</w:t>
            </w:r>
            <w:r w:rsidRPr="004421BA">
              <w:rPr>
                <w:color w:val="000000"/>
                <w:lang w:val="fr-FR" w:eastAsia="fr-FR"/>
              </w:rPr>
              <w:t>157</w:t>
            </w:r>
            <w:r w:rsidR="005C6B51">
              <w:rPr>
                <w:color w:val="000000"/>
                <w:lang w:val="fr-FR" w:eastAsia="fr-FR"/>
              </w:rPr>
              <w:t>.</w:t>
            </w:r>
            <w:r w:rsidRPr="004421BA">
              <w:rPr>
                <w:color w:val="000000"/>
                <w:lang w:val="fr-FR" w:eastAsia="fr-FR"/>
              </w:rPr>
              <w:t>33</w:t>
            </w:r>
          </w:p>
        </w:tc>
        <w:tc>
          <w:tcPr>
            <w:tcW w:w="1216" w:type="dxa"/>
            <w:tcBorders>
              <w:top w:val="single" w:sz="4" w:space="0" w:color="8EA9DB"/>
              <w:left w:val="nil"/>
              <w:bottom w:val="single" w:sz="4" w:space="0" w:color="8EA9DB"/>
              <w:right w:val="nil"/>
            </w:tcBorders>
            <w:shd w:val="clear" w:color="D9E1F2" w:fill="D9E1F2"/>
            <w:noWrap/>
            <w:vAlign w:val="bottom"/>
            <w:hideMark/>
          </w:tcPr>
          <w:p w14:paraId="0B88BC6D" w14:textId="78456B20" w:rsidR="009A0D8C" w:rsidRPr="004421BA" w:rsidRDefault="009A0D8C" w:rsidP="009A0D8C">
            <w:pPr>
              <w:jc w:val="center"/>
              <w:rPr>
                <w:color w:val="000000"/>
                <w:lang w:val="fr-FR" w:eastAsia="fr-FR"/>
              </w:rPr>
            </w:pPr>
            <w:r w:rsidRPr="004421BA">
              <w:rPr>
                <w:color w:val="000000"/>
                <w:lang w:val="fr-FR" w:eastAsia="fr-FR"/>
              </w:rPr>
              <w:t>0</w:t>
            </w:r>
            <w:r w:rsidR="005C6B51">
              <w:rPr>
                <w:color w:val="000000"/>
                <w:lang w:val="fr-FR" w:eastAsia="fr-FR"/>
              </w:rPr>
              <w:t>.</w:t>
            </w:r>
            <w:r w:rsidRPr="004421BA">
              <w:rPr>
                <w:color w:val="000000"/>
                <w:lang w:val="fr-FR" w:eastAsia="fr-FR"/>
              </w:rPr>
              <w:t>82</w:t>
            </w:r>
          </w:p>
        </w:tc>
        <w:tc>
          <w:tcPr>
            <w:tcW w:w="1216" w:type="dxa"/>
            <w:tcBorders>
              <w:top w:val="single" w:sz="4" w:space="0" w:color="8EA9DB"/>
              <w:left w:val="nil"/>
              <w:bottom w:val="single" w:sz="4" w:space="0" w:color="8EA9DB"/>
              <w:right w:val="nil"/>
            </w:tcBorders>
            <w:shd w:val="clear" w:color="D9E1F2" w:fill="D9E1F2"/>
            <w:noWrap/>
            <w:vAlign w:val="bottom"/>
            <w:hideMark/>
          </w:tcPr>
          <w:p w14:paraId="17B15873" w14:textId="1A2B927A" w:rsidR="009A0D8C" w:rsidRPr="004421BA" w:rsidRDefault="009A0D8C" w:rsidP="009A0D8C">
            <w:pPr>
              <w:jc w:val="center"/>
              <w:rPr>
                <w:color w:val="000000"/>
                <w:lang w:val="fr-FR" w:eastAsia="fr-FR"/>
              </w:rPr>
            </w:pPr>
            <w:r w:rsidRPr="004421BA">
              <w:rPr>
                <w:color w:val="000000"/>
                <w:lang w:val="fr-FR" w:eastAsia="fr-FR"/>
              </w:rPr>
              <w:t>2</w:t>
            </w:r>
            <w:r w:rsidR="005C6B51">
              <w:rPr>
                <w:color w:val="000000"/>
                <w:lang w:val="fr-FR" w:eastAsia="fr-FR"/>
              </w:rPr>
              <w:t>,</w:t>
            </w:r>
            <w:r w:rsidRPr="004421BA">
              <w:rPr>
                <w:color w:val="000000"/>
                <w:lang w:val="fr-FR" w:eastAsia="fr-FR"/>
              </w:rPr>
              <w:t>271</w:t>
            </w:r>
            <w:r w:rsidR="005C6B51">
              <w:rPr>
                <w:color w:val="000000"/>
                <w:lang w:val="fr-FR" w:eastAsia="fr-FR"/>
              </w:rPr>
              <w:t>.</w:t>
            </w:r>
            <w:r w:rsidRPr="004421BA">
              <w:rPr>
                <w:color w:val="000000"/>
                <w:lang w:val="fr-FR" w:eastAsia="fr-FR"/>
              </w:rPr>
              <w:t>80</w:t>
            </w:r>
          </w:p>
        </w:tc>
        <w:tc>
          <w:tcPr>
            <w:tcW w:w="1208" w:type="dxa"/>
            <w:tcBorders>
              <w:top w:val="single" w:sz="4" w:space="0" w:color="8EA9DB"/>
              <w:left w:val="nil"/>
              <w:bottom w:val="single" w:sz="4" w:space="0" w:color="8EA9DB"/>
              <w:right w:val="single" w:sz="4" w:space="0" w:color="auto"/>
            </w:tcBorders>
            <w:shd w:val="clear" w:color="D9E1F2" w:fill="D9E1F2"/>
            <w:noWrap/>
            <w:vAlign w:val="bottom"/>
            <w:hideMark/>
          </w:tcPr>
          <w:p w14:paraId="099AE5C2" w14:textId="149F22DF" w:rsidR="009A0D8C" w:rsidRPr="00F7553D" w:rsidRDefault="009A0D8C" w:rsidP="009A0D8C">
            <w:pPr>
              <w:jc w:val="center"/>
              <w:rPr>
                <w:b/>
                <w:bCs/>
                <w:color w:val="000000"/>
                <w:lang w:val="fr-FR" w:eastAsia="fr-FR"/>
              </w:rPr>
            </w:pPr>
            <w:r w:rsidRPr="00F7553D">
              <w:rPr>
                <w:b/>
                <w:bCs/>
                <w:color w:val="000000"/>
                <w:lang w:val="fr-FR" w:eastAsia="fr-FR"/>
              </w:rPr>
              <w:t>4</w:t>
            </w:r>
            <w:r w:rsidR="005C6B51" w:rsidRPr="00F7553D">
              <w:rPr>
                <w:b/>
                <w:bCs/>
                <w:color w:val="000000"/>
                <w:lang w:val="fr-FR" w:eastAsia="fr-FR"/>
              </w:rPr>
              <w:t>,</w:t>
            </w:r>
            <w:r w:rsidRPr="00F7553D">
              <w:rPr>
                <w:b/>
                <w:bCs/>
                <w:color w:val="000000"/>
                <w:lang w:val="fr-FR" w:eastAsia="fr-FR"/>
              </w:rPr>
              <w:t>429</w:t>
            </w:r>
            <w:r w:rsidR="005C6B51" w:rsidRPr="00F7553D">
              <w:rPr>
                <w:b/>
                <w:bCs/>
                <w:color w:val="000000"/>
                <w:lang w:val="fr-FR" w:eastAsia="fr-FR"/>
              </w:rPr>
              <w:t>.</w:t>
            </w:r>
            <w:r w:rsidRPr="00F7553D">
              <w:rPr>
                <w:b/>
                <w:bCs/>
                <w:color w:val="000000"/>
                <w:lang w:val="fr-FR" w:eastAsia="fr-FR"/>
              </w:rPr>
              <w:t>96</w:t>
            </w:r>
          </w:p>
        </w:tc>
      </w:tr>
      <w:tr w:rsidR="009A0D8C" w:rsidRPr="004421BA" w14:paraId="0B8F1C2C" w14:textId="77777777" w:rsidTr="004421BA">
        <w:trPr>
          <w:trHeight w:val="290"/>
          <w:jc w:val="center"/>
        </w:trPr>
        <w:tc>
          <w:tcPr>
            <w:tcW w:w="1232" w:type="dxa"/>
            <w:tcBorders>
              <w:top w:val="single" w:sz="4" w:space="0" w:color="8EA9DB"/>
              <w:left w:val="single" w:sz="4" w:space="0" w:color="auto"/>
              <w:bottom w:val="single" w:sz="4" w:space="0" w:color="8EA9DB"/>
              <w:right w:val="nil"/>
            </w:tcBorders>
            <w:shd w:val="clear" w:color="auto" w:fill="auto"/>
            <w:noWrap/>
            <w:vAlign w:val="bottom"/>
            <w:hideMark/>
          </w:tcPr>
          <w:p w14:paraId="6E2DD618" w14:textId="77777777" w:rsidR="009A0D8C" w:rsidRPr="004421BA" w:rsidRDefault="009A0D8C" w:rsidP="009A0D8C">
            <w:pPr>
              <w:jc w:val="center"/>
              <w:rPr>
                <w:color w:val="000000"/>
                <w:lang w:val="fr-FR" w:eastAsia="fr-FR"/>
              </w:rPr>
            </w:pPr>
            <w:r w:rsidRPr="004421BA">
              <w:rPr>
                <w:color w:val="000000"/>
                <w:lang w:val="fr-FR" w:eastAsia="fr-FR"/>
              </w:rPr>
              <w:t>Thermal</w:t>
            </w:r>
          </w:p>
        </w:tc>
        <w:tc>
          <w:tcPr>
            <w:tcW w:w="988" w:type="dxa"/>
            <w:tcBorders>
              <w:top w:val="single" w:sz="4" w:space="0" w:color="8EA9DB"/>
              <w:left w:val="nil"/>
              <w:bottom w:val="single" w:sz="4" w:space="0" w:color="8EA9DB"/>
              <w:right w:val="nil"/>
            </w:tcBorders>
            <w:vAlign w:val="bottom"/>
          </w:tcPr>
          <w:p w14:paraId="24FA8140" w14:textId="3076673F" w:rsidR="009A0D8C" w:rsidRPr="004421BA" w:rsidRDefault="009A0D8C" w:rsidP="004421BA">
            <w:pPr>
              <w:jc w:val="center"/>
              <w:rPr>
                <w:color w:val="000000"/>
                <w:lang w:val="fr-FR" w:eastAsia="fr-FR"/>
              </w:rPr>
            </w:pPr>
            <w:r w:rsidRPr="004421BA">
              <w:rPr>
                <w:color w:val="000000"/>
                <w:lang w:val="fr-FR" w:eastAsia="fr-FR"/>
              </w:rPr>
              <w:t>9</w:t>
            </w:r>
          </w:p>
        </w:tc>
        <w:tc>
          <w:tcPr>
            <w:tcW w:w="1216" w:type="dxa"/>
            <w:tcBorders>
              <w:top w:val="single" w:sz="4" w:space="0" w:color="8EA9DB"/>
              <w:left w:val="nil"/>
              <w:bottom w:val="single" w:sz="4" w:space="0" w:color="8EA9DB"/>
              <w:right w:val="nil"/>
            </w:tcBorders>
            <w:shd w:val="clear" w:color="auto" w:fill="auto"/>
            <w:noWrap/>
            <w:vAlign w:val="bottom"/>
            <w:hideMark/>
          </w:tcPr>
          <w:p w14:paraId="6F7B43D0" w14:textId="3809829B" w:rsidR="009A0D8C" w:rsidRPr="004421BA" w:rsidRDefault="009A0D8C" w:rsidP="009A0D8C">
            <w:pPr>
              <w:jc w:val="center"/>
              <w:rPr>
                <w:color w:val="000000"/>
                <w:lang w:val="fr-FR" w:eastAsia="fr-FR"/>
              </w:rPr>
            </w:pPr>
            <w:r w:rsidRPr="004421BA">
              <w:rPr>
                <w:color w:val="000000"/>
                <w:lang w:val="fr-FR" w:eastAsia="fr-FR"/>
              </w:rPr>
              <w:t>48</w:t>
            </w:r>
            <w:r w:rsidR="005C6B51">
              <w:rPr>
                <w:color w:val="000000"/>
                <w:lang w:val="fr-FR" w:eastAsia="fr-FR"/>
              </w:rPr>
              <w:t>,</w:t>
            </w:r>
            <w:r w:rsidRPr="004421BA">
              <w:rPr>
                <w:color w:val="000000"/>
                <w:lang w:val="fr-FR" w:eastAsia="fr-FR"/>
              </w:rPr>
              <w:t>822</w:t>
            </w:r>
            <w:r w:rsidR="005C6B51">
              <w:rPr>
                <w:color w:val="000000"/>
                <w:lang w:val="fr-FR" w:eastAsia="fr-FR"/>
              </w:rPr>
              <w:t>.</w:t>
            </w:r>
            <w:r w:rsidRPr="004421BA">
              <w:rPr>
                <w:color w:val="000000"/>
                <w:lang w:val="fr-FR" w:eastAsia="fr-FR"/>
              </w:rPr>
              <w:t>34</w:t>
            </w:r>
          </w:p>
        </w:tc>
        <w:tc>
          <w:tcPr>
            <w:tcW w:w="1216" w:type="dxa"/>
            <w:tcBorders>
              <w:top w:val="single" w:sz="4" w:space="0" w:color="8EA9DB"/>
              <w:left w:val="nil"/>
              <w:bottom w:val="single" w:sz="4" w:space="0" w:color="8EA9DB"/>
              <w:right w:val="nil"/>
            </w:tcBorders>
            <w:shd w:val="clear" w:color="auto" w:fill="auto"/>
            <w:noWrap/>
            <w:vAlign w:val="bottom"/>
            <w:hideMark/>
          </w:tcPr>
          <w:p w14:paraId="66E56E62" w14:textId="5FE4339F" w:rsidR="009A0D8C" w:rsidRPr="004421BA" w:rsidRDefault="009A0D8C" w:rsidP="009A0D8C">
            <w:pPr>
              <w:jc w:val="center"/>
              <w:rPr>
                <w:color w:val="000000"/>
                <w:lang w:val="fr-FR" w:eastAsia="fr-FR"/>
              </w:rPr>
            </w:pPr>
            <w:r w:rsidRPr="004421BA">
              <w:rPr>
                <w:color w:val="000000"/>
                <w:lang w:val="fr-FR" w:eastAsia="fr-FR"/>
              </w:rPr>
              <w:t>329</w:t>
            </w:r>
            <w:r w:rsidR="005C6B51">
              <w:rPr>
                <w:color w:val="000000"/>
                <w:lang w:val="fr-FR" w:eastAsia="fr-FR"/>
              </w:rPr>
              <w:t>.</w:t>
            </w:r>
            <w:r w:rsidRPr="004421BA">
              <w:rPr>
                <w:color w:val="000000"/>
                <w:lang w:val="fr-FR" w:eastAsia="fr-FR"/>
              </w:rPr>
              <w:t>40</w:t>
            </w:r>
          </w:p>
        </w:tc>
        <w:tc>
          <w:tcPr>
            <w:tcW w:w="1216" w:type="dxa"/>
            <w:tcBorders>
              <w:top w:val="single" w:sz="4" w:space="0" w:color="8EA9DB"/>
              <w:left w:val="nil"/>
              <w:bottom w:val="single" w:sz="4" w:space="0" w:color="8EA9DB"/>
              <w:right w:val="nil"/>
            </w:tcBorders>
            <w:shd w:val="clear" w:color="auto" w:fill="auto"/>
            <w:noWrap/>
            <w:vAlign w:val="bottom"/>
            <w:hideMark/>
          </w:tcPr>
          <w:p w14:paraId="0AC88E21" w14:textId="509D4742" w:rsidR="009A0D8C" w:rsidRPr="004421BA" w:rsidRDefault="009A0D8C" w:rsidP="009A0D8C">
            <w:pPr>
              <w:jc w:val="center"/>
              <w:rPr>
                <w:color w:val="000000"/>
                <w:lang w:val="fr-FR" w:eastAsia="fr-FR"/>
              </w:rPr>
            </w:pPr>
            <w:r w:rsidRPr="004421BA">
              <w:rPr>
                <w:color w:val="000000"/>
                <w:lang w:val="fr-FR" w:eastAsia="fr-FR"/>
              </w:rPr>
              <w:t>1</w:t>
            </w:r>
            <w:r w:rsidR="005C6B51">
              <w:rPr>
                <w:color w:val="000000"/>
                <w:lang w:val="fr-FR" w:eastAsia="fr-FR"/>
              </w:rPr>
              <w:t>,</w:t>
            </w:r>
            <w:r w:rsidRPr="004421BA">
              <w:rPr>
                <w:color w:val="000000"/>
                <w:lang w:val="fr-FR" w:eastAsia="fr-FR"/>
              </w:rPr>
              <w:t>982</w:t>
            </w:r>
            <w:r w:rsidR="005C6B51">
              <w:rPr>
                <w:color w:val="000000"/>
                <w:lang w:val="fr-FR" w:eastAsia="fr-FR"/>
              </w:rPr>
              <w:t>.</w:t>
            </w:r>
            <w:r w:rsidRPr="004421BA">
              <w:rPr>
                <w:color w:val="000000"/>
                <w:lang w:val="fr-FR" w:eastAsia="fr-FR"/>
              </w:rPr>
              <w:t>83</w:t>
            </w:r>
          </w:p>
        </w:tc>
        <w:tc>
          <w:tcPr>
            <w:tcW w:w="1208" w:type="dxa"/>
            <w:tcBorders>
              <w:top w:val="single" w:sz="4" w:space="0" w:color="8EA9DB"/>
              <w:left w:val="nil"/>
              <w:bottom w:val="single" w:sz="4" w:space="0" w:color="8EA9DB"/>
              <w:right w:val="single" w:sz="4" w:space="0" w:color="auto"/>
            </w:tcBorders>
            <w:shd w:val="clear" w:color="auto" w:fill="auto"/>
            <w:noWrap/>
            <w:vAlign w:val="bottom"/>
            <w:hideMark/>
          </w:tcPr>
          <w:p w14:paraId="4B014A60" w14:textId="3CC3896A" w:rsidR="009A0D8C" w:rsidRPr="00F7553D" w:rsidRDefault="009A0D8C" w:rsidP="009A0D8C">
            <w:pPr>
              <w:jc w:val="center"/>
              <w:rPr>
                <w:b/>
                <w:bCs/>
                <w:color w:val="000000"/>
                <w:lang w:val="fr-FR" w:eastAsia="fr-FR"/>
              </w:rPr>
            </w:pPr>
            <w:r w:rsidRPr="00F7553D">
              <w:rPr>
                <w:b/>
                <w:bCs/>
                <w:color w:val="000000"/>
                <w:lang w:val="fr-FR" w:eastAsia="fr-FR"/>
              </w:rPr>
              <w:t>51</w:t>
            </w:r>
            <w:r w:rsidR="005C6B51" w:rsidRPr="00F7553D">
              <w:rPr>
                <w:b/>
                <w:bCs/>
                <w:color w:val="000000"/>
                <w:lang w:val="fr-FR" w:eastAsia="fr-FR"/>
              </w:rPr>
              <w:t>,</w:t>
            </w:r>
            <w:r w:rsidRPr="00F7553D">
              <w:rPr>
                <w:b/>
                <w:bCs/>
                <w:color w:val="000000"/>
                <w:lang w:val="fr-FR" w:eastAsia="fr-FR"/>
              </w:rPr>
              <w:t>134</w:t>
            </w:r>
            <w:r w:rsidR="005C6B51" w:rsidRPr="00F7553D">
              <w:rPr>
                <w:b/>
                <w:bCs/>
                <w:color w:val="000000"/>
                <w:lang w:val="fr-FR" w:eastAsia="fr-FR"/>
              </w:rPr>
              <w:t>.</w:t>
            </w:r>
            <w:r w:rsidRPr="00F7553D">
              <w:rPr>
                <w:b/>
                <w:bCs/>
                <w:color w:val="000000"/>
                <w:lang w:val="fr-FR" w:eastAsia="fr-FR"/>
              </w:rPr>
              <w:t>58</w:t>
            </w:r>
          </w:p>
        </w:tc>
      </w:tr>
      <w:tr w:rsidR="009A0D8C" w:rsidRPr="004421BA" w14:paraId="62A006A5" w14:textId="77777777" w:rsidTr="004421BA">
        <w:trPr>
          <w:trHeight w:val="290"/>
          <w:jc w:val="center"/>
        </w:trPr>
        <w:tc>
          <w:tcPr>
            <w:tcW w:w="1232" w:type="dxa"/>
            <w:tcBorders>
              <w:top w:val="single" w:sz="4" w:space="0" w:color="8EA9DB"/>
              <w:left w:val="single" w:sz="4" w:space="0" w:color="auto"/>
              <w:bottom w:val="single" w:sz="4" w:space="0" w:color="8EA9DB"/>
              <w:right w:val="nil"/>
            </w:tcBorders>
            <w:shd w:val="clear" w:color="D9E1F2" w:fill="D9E1F2"/>
            <w:noWrap/>
            <w:vAlign w:val="bottom"/>
            <w:hideMark/>
          </w:tcPr>
          <w:p w14:paraId="0C38688E" w14:textId="77777777" w:rsidR="009A0D8C" w:rsidRPr="004421BA" w:rsidRDefault="009A0D8C" w:rsidP="009A0D8C">
            <w:pPr>
              <w:jc w:val="center"/>
              <w:rPr>
                <w:color w:val="000000"/>
                <w:lang w:val="fr-FR" w:eastAsia="fr-FR"/>
              </w:rPr>
            </w:pPr>
            <w:proofErr w:type="spellStart"/>
            <w:r w:rsidRPr="004421BA">
              <w:rPr>
                <w:color w:val="000000"/>
                <w:lang w:val="fr-FR" w:eastAsia="fr-FR"/>
              </w:rPr>
              <w:t>Biomethane</w:t>
            </w:r>
            <w:proofErr w:type="spellEnd"/>
          </w:p>
        </w:tc>
        <w:tc>
          <w:tcPr>
            <w:tcW w:w="988" w:type="dxa"/>
            <w:tcBorders>
              <w:top w:val="single" w:sz="4" w:space="0" w:color="8EA9DB"/>
              <w:left w:val="nil"/>
              <w:bottom w:val="single" w:sz="4" w:space="0" w:color="8EA9DB"/>
              <w:right w:val="nil"/>
            </w:tcBorders>
            <w:shd w:val="clear" w:color="D9E1F2" w:fill="D9E1F2"/>
            <w:vAlign w:val="bottom"/>
          </w:tcPr>
          <w:p w14:paraId="315FE0FC" w14:textId="4963B62D" w:rsidR="009A0D8C" w:rsidRPr="004421BA" w:rsidRDefault="009A0D8C" w:rsidP="004421BA">
            <w:pPr>
              <w:jc w:val="center"/>
              <w:rPr>
                <w:color w:val="000000"/>
                <w:lang w:val="fr-FR" w:eastAsia="fr-FR"/>
              </w:rPr>
            </w:pPr>
            <w:r w:rsidRPr="004421BA">
              <w:rPr>
                <w:color w:val="000000"/>
                <w:lang w:val="fr-FR" w:eastAsia="fr-FR"/>
              </w:rPr>
              <w:t>24</w:t>
            </w:r>
          </w:p>
        </w:tc>
        <w:tc>
          <w:tcPr>
            <w:tcW w:w="1216" w:type="dxa"/>
            <w:tcBorders>
              <w:top w:val="single" w:sz="4" w:space="0" w:color="8EA9DB"/>
              <w:left w:val="nil"/>
              <w:bottom w:val="single" w:sz="4" w:space="0" w:color="8EA9DB"/>
              <w:right w:val="nil"/>
            </w:tcBorders>
            <w:shd w:val="clear" w:color="D9E1F2" w:fill="D9E1F2"/>
            <w:noWrap/>
            <w:vAlign w:val="bottom"/>
            <w:hideMark/>
          </w:tcPr>
          <w:p w14:paraId="6B0FB546" w14:textId="347B8A90" w:rsidR="009A0D8C" w:rsidRPr="004421BA" w:rsidRDefault="009A0D8C" w:rsidP="009A0D8C">
            <w:pPr>
              <w:jc w:val="center"/>
              <w:rPr>
                <w:color w:val="000000"/>
                <w:lang w:val="fr-FR" w:eastAsia="fr-FR"/>
              </w:rPr>
            </w:pPr>
            <w:r w:rsidRPr="004421BA">
              <w:rPr>
                <w:color w:val="000000"/>
                <w:lang w:val="fr-FR" w:eastAsia="fr-FR"/>
              </w:rPr>
              <w:t>12</w:t>
            </w:r>
            <w:r w:rsidR="005C6B51">
              <w:rPr>
                <w:color w:val="000000"/>
                <w:lang w:val="fr-FR" w:eastAsia="fr-FR"/>
              </w:rPr>
              <w:t>,</w:t>
            </w:r>
            <w:r w:rsidRPr="004421BA">
              <w:rPr>
                <w:color w:val="000000"/>
                <w:lang w:val="fr-FR" w:eastAsia="fr-FR"/>
              </w:rPr>
              <w:t>728</w:t>
            </w:r>
            <w:r w:rsidR="005C6B51">
              <w:rPr>
                <w:color w:val="000000"/>
                <w:lang w:val="fr-FR" w:eastAsia="fr-FR"/>
              </w:rPr>
              <w:t>.</w:t>
            </w:r>
            <w:r w:rsidRPr="004421BA">
              <w:rPr>
                <w:color w:val="000000"/>
                <w:lang w:val="fr-FR" w:eastAsia="fr-FR"/>
              </w:rPr>
              <w:t>82</w:t>
            </w:r>
          </w:p>
        </w:tc>
        <w:tc>
          <w:tcPr>
            <w:tcW w:w="1216" w:type="dxa"/>
            <w:tcBorders>
              <w:top w:val="single" w:sz="4" w:space="0" w:color="8EA9DB"/>
              <w:left w:val="nil"/>
              <w:bottom w:val="single" w:sz="4" w:space="0" w:color="8EA9DB"/>
              <w:right w:val="nil"/>
            </w:tcBorders>
            <w:shd w:val="clear" w:color="D9E1F2" w:fill="D9E1F2"/>
            <w:noWrap/>
            <w:vAlign w:val="bottom"/>
            <w:hideMark/>
          </w:tcPr>
          <w:p w14:paraId="54AA2648" w14:textId="027F951A" w:rsidR="009A0D8C" w:rsidRPr="004421BA" w:rsidRDefault="009A0D8C" w:rsidP="009A0D8C">
            <w:pPr>
              <w:jc w:val="center"/>
              <w:rPr>
                <w:color w:val="000000"/>
                <w:lang w:val="fr-FR" w:eastAsia="fr-FR"/>
              </w:rPr>
            </w:pPr>
            <w:r w:rsidRPr="004421BA">
              <w:rPr>
                <w:color w:val="000000"/>
                <w:lang w:val="fr-FR" w:eastAsia="fr-FR"/>
              </w:rPr>
              <w:t>2</w:t>
            </w:r>
            <w:r w:rsidR="005C6B51">
              <w:rPr>
                <w:color w:val="000000"/>
                <w:lang w:val="fr-FR" w:eastAsia="fr-FR"/>
              </w:rPr>
              <w:t>.</w:t>
            </w:r>
            <w:r w:rsidRPr="004421BA">
              <w:rPr>
                <w:color w:val="000000"/>
                <w:lang w:val="fr-FR" w:eastAsia="fr-FR"/>
              </w:rPr>
              <w:t>20</w:t>
            </w:r>
          </w:p>
        </w:tc>
        <w:tc>
          <w:tcPr>
            <w:tcW w:w="1216" w:type="dxa"/>
            <w:tcBorders>
              <w:top w:val="single" w:sz="4" w:space="0" w:color="8EA9DB"/>
              <w:left w:val="nil"/>
              <w:bottom w:val="single" w:sz="4" w:space="0" w:color="8EA9DB"/>
              <w:right w:val="nil"/>
            </w:tcBorders>
            <w:shd w:val="clear" w:color="D9E1F2" w:fill="D9E1F2"/>
            <w:noWrap/>
            <w:vAlign w:val="bottom"/>
            <w:hideMark/>
          </w:tcPr>
          <w:p w14:paraId="1E8B68B5" w14:textId="7387B14D" w:rsidR="009A0D8C" w:rsidRPr="004421BA" w:rsidRDefault="009A0D8C" w:rsidP="009A0D8C">
            <w:pPr>
              <w:jc w:val="center"/>
              <w:rPr>
                <w:color w:val="000000"/>
                <w:lang w:val="fr-FR" w:eastAsia="fr-FR"/>
              </w:rPr>
            </w:pPr>
            <w:r w:rsidRPr="004421BA">
              <w:rPr>
                <w:color w:val="000000"/>
                <w:lang w:val="fr-FR" w:eastAsia="fr-FR"/>
              </w:rPr>
              <w:t>21</w:t>
            </w:r>
            <w:r w:rsidR="005C6B51">
              <w:rPr>
                <w:color w:val="000000"/>
                <w:lang w:val="fr-FR" w:eastAsia="fr-FR"/>
              </w:rPr>
              <w:t>.</w:t>
            </w:r>
            <w:r w:rsidRPr="004421BA">
              <w:rPr>
                <w:color w:val="000000"/>
                <w:lang w:val="fr-FR" w:eastAsia="fr-FR"/>
              </w:rPr>
              <w:t>85</w:t>
            </w:r>
          </w:p>
        </w:tc>
        <w:tc>
          <w:tcPr>
            <w:tcW w:w="1208" w:type="dxa"/>
            <w:tcBorders>
              <w:top w:val="single" w:sz="4" w:space="0" w:color="8EA9DB"/>
              <w:left w:val="nil"/>
              <w:bottom w:val="single" w:sz="4" w:space="0" w:color="8EA9DB"/>
              <w:right w:val="single" w:sz="4" w:space="0" w:color="auto"/>
            </w:tcBorders>
            <w:shd w:val="clear" w:color="D9E1F2" w:fill="D9E1F2"/>
            <w:noWrap/>
            <w:vAlign w:val="bottom"/>
            <w:hideMark/>
          </w:tcPr>
          <w:p w14:paraId="653CA558" w14:textId="37A9D348" w:rsidR="009A0D8C" w:rsidRPr="00F7553D" w:rsidRDefault="009A0D8C" w:rsidP="009A0D8C">
            <w:pPr>
              <w:jc w:val="center"/>
              <w:rPr>
                <w:b/>
                <w:bCs/>
                <w:color w:val="000000"/>
                <w:lang w:val="fr-FR" w:eastAsia="fr-FR"/>
              </w:rPr>
            </w:pPr>
            <w:r w:rsidRPr="00F7553D">
              <w:rPr>
                <w:b/>
                <w:bCs/>
                <w:color w:val="000000"/>
                <w:lang w:val="fr-FR" w:eastAsia="fr-FR"/>
              </w:rPr>
              <w:t>12</w:t>
            </w:r>
            <w:r w:rsidR="005C6B51" w:rsidRPr="00F7553D">
              <w:rPr>
                <w:b/>
                <w:bCs/>
                <w:color w:val="000000"/>
                <w:lang w:val="fr-FR" w:eastAsia="fr-FR"/>
              </w:rPr>
              <w:t>,</w:t>
            </w:r>
            <w:r w:rsidRPr="00F7553D">
              <w:rPr>
                <w:b/>
                <w:bCs/>
                <w:color w:val="000000"/>
                <w:lang w:val="fr-FR" w:eastAsia="fr-FR"/>
              </w:rPr>
              <w:t>752</w:t>
            </w:r>
            <w:r w:rsidR="005C6B51" w:rsidRPr="00F7553D">
              <w:rPr>
                <w:b/>
                <w:bCs/>
                <w:color w:val="000000"/>
                <w:lang w:val="fr-FR" w:eastAsia="fr-FR"/>
              </w:rPr>
              <w:t>.</w:t>
            </w:r>
            <w:r w:rsidRPr="00F7553D">
              <w:rPr>
                <w:b/>
                <w:bCs/>
                <w:color w:val="000000"/>
                <w:lang w:val="fr-FR" w:eastAsia="fr-FR"/>
              </w:rPr>
              <w:t>87</w:t>
            </w:r>
          </w:p>
        </w:tc>
      </w:tr>
      <w:tr w:rsidR="009A0D8C" w:rsidRPr="004421BA" w14:paraId="01944EDE" w14:textId="77777777" w:rsidTr="004421BA">
        <w:trPr>
          <w:trHeight w:val="65"/>
          <w:jc w:val="center"/>
        </w:trPr>
        <w:tc>
          <w:tcPr>
            <w:tcW w:w="1232" w:type="dxa"/>
            <w:tcBorders>
              <w:top w:val="single" w:sz="4" w:space="0" w:color="8EA9DB"/>
              <w:left w:val="single" w:sz="4" w:space="0" w:color="auto"/>
              <w:bottom w:val="single" w:sz="4" w:space="0" w:color="8EA9DB"/>
              <w:right w:val="nil"/>
            </w:tcBorders>
            <w:shd w:val="clear" w:color="auto" w:fill="auto"/>
            <w:noWrap/>
            <w:vAlign w:val="bottom"/>
            <w:hideMark/>
          </w:tcPr>
          <w:p w14:paraId="302BD470" w14:textId="77777777" w:rsidR="009A0D8C" w:rsidRPr="004421BA" w:rsidRDefault="009A0D8C" w:rsidP="009A0D8C">
            <w:pPr>
              <w:jc w:val="right"/>
              <w:rPr>
                <w:color w:val="000000"/>
                <w:sz w:val="2"/>
                <w:szCs w:val="2"/>
                <w:lang w:val="fr-FR" w:eastAsia="fr-FR"/>
              </w:rPr>
            </w:pPr>
          </w:p>
        </w:tc>
        <w:tc>
          <w:tcPr>
            <w:tcW w:w="988" w:type="dxa"/>
            <w:tcBorders>
              <w:top w:val="single" w:sz="4" w:space="0" w:color="8EA9DB"/>
              <w:left w:val="nil"/>
              <w:bottom w:val="single" w:sz="4" w:space="0" w:color="8EA9DB"/>
              <w:right w:val="nil"/>
            </w:tcBorders>
            <w:vAlign w:val="bottom"/>
          </w:tcPr>
          <w:p w14:paraId="5C99C332" w14:textId="77777777" w:rsidR="009A0D8C" w:rsidRPr="004421BA" w:rsidRDefault="009A0D8C" w:rsidP="004421BA">
            <w:pPr>
              <w:jc w:val="center"/>
              <w:rPr>
                <w:sz w:val="2"/>
                <w:szCs w:val="2"/>
                <w:lang w:val="fr-FR" w:eastAsia="fr-FR"/>
              </w:rPr>
            </w:pPr>
          </w:p>
        </w:tc>
        <w:tc>
          <w:tcPr>
            <w:tcW w:w="1216" w:type="dxa"/>
            <w:tcBorders>
              <w:top w:val="single" w:sz="4" w:space="0" w:color="8EA9DB"/>
              <w:left w:val="nil"/>
              <w:bottom w:val="single" w:sz="4" w:space="0" w:color="8EA9DB"/>
              <w:right w:val="nil"/>
            </w:tcBorders>
            <w:shd w:val="clear" w:color="auto" w:fill="auto"/>
            <w:noWrap/>
            <w:vAlign w:val="bottom"/>
            <w:hideMark/>
          </w:tcPr>
          <w:p w14:paraId="1C81A721" w14:textId="5D74958A" w:rsidR="009A0D8C" w:rsidRPr="004421BA" w:rsidRDefault="009A0D8C" w:rsidP="009A0D8C">
            <w:pPr>
              <w:jc w:val="center"/>
              <w:rPr>
                <w:sz w:val="2"/>
                <w:szCs w:val="2"/>
                <w:lang w:val="fr-FR" w:eastAsia="fr-FR"/>
              </w:rPr>
            </w:pPr>
          </w:p>
        </w:tc>
        <w:tc>
          <w:tcPr>
            <w:tcW w:w="1216" w:type="dxa"/>
            <w:tcBorders>
              <w:top w:val="single" w:sz="4" w:space="0" w:color="8EA9DB"/>
              <w:left w:val="nil"/>
              <w:bottom w:val="single" w:sz="4" w:space="0" w:color="8EA9DB"/>
              <w:right w:val="nil"/>
            </w:tcBorders>
            <w:shd w:val="clear" w:color="auto" w:fill="auto"/>
            <w:noWrap/>
            <w:vAlign w:val="bottom"/>
            <w:hideMark/>
          </w:tcPr>
          <w:p w14:paraId="34F559AE" w14:textId="77777777" w:rsidR="009A0D8C" w:rsidRPr="004421BA" w:rsidRDefault="009A0D8C" w:rsidP="009A0D8C">
            <w:pPr>
              <w:jc w:val="center"/>
              <w:rPr>
                <w:sz w:val="2"/>
                <w:szCs w:val="2"/>
                <w:lang w:val="fr-FR" w:eastAsia="fr-FR"/>
              </w:rPr>
            </w:pPr>
          </w:p>
        </w:tc>
        <w:tc>
          <w:tcPr>
            <w:tcW w:w="1216" w:type="dxa"/>
            <w:tcBorders>
              <w:top w:val="single" w:sz="4" w:space="0" w:color="8EA9DB"/>
              <w:left w:val="nil"/>
              <w:bottom w:val="single" w:sz="4" w:space="0" w:color="8EA9DB"/>
              <w:right w:val="nil"/>
            </w:tcBorders>
            <w:shd w:val="clear" w:color="auto" w:fill="auto"/>
            <w:noWrap/>
            <w:vAlign w:val="bottom"/>
            <w:hideMark/>
          </w:tcPr>
          <w:p w14:paraId="437E46FF" w14:textId="77777777" w:rsidR="009A0D8C" w:rsidRPr="004421BA" w:rsidRDefault="009A0D8C" w:rsidP="009A0D8C">
            <w:pPr>
              <w:jc w:val="center"/>
              <w:rPr>
                <w:lang w:val="fr-FR" w:eastAsia="fr-FR"/>
              </w:rPr>
            </w:pPr>
          </w:p>
        </w:tc>
        <w:tc>
          <w:tcPr>
            <w:tcW w:w="1208" w:type="dxa"/>
            <w:tcBorders>
              <w:top w:val="single" w:sz="4" w:space="0" w:color="8EA9DB"/>
              <w:left w:val="nil"/>
              <w:bottom w:val="single" w:sz="4" w:space="0" w:color="8EA9DB"/>
              <w:right w:val="single" w:sz="4" w:space="0" w:color="auto"/>
            </w:tcBorders>
            <w:shd w:val="clear" w:color="auto" w:fill="auto"/>
            <w:noWrap/>
            <w:vAlign w:val="bottom"/>
            <w:hideMark/>
          </w:tcPr>
          <w:p w14:paraId="5E7675DC" w14:textId="77777777" w:rsidR="009A0D8C" w:rsidRPr="00F7553D" w:rsidRDefault="009A0D8C" w:rsidP="009A0D8C">
            <w:pPr>
              <w:jc w:val="center"/>
              <w:rPr>
                <w:b/>
                <w:bCs/>
                <w:lang w:val="fr-FR" w:eastAsia="fr-FR"/>
              </w:rPr>
            </w:pPr>
          </w:p>
        </w:tc>
      </w:tr>
      <w:tr w:rsidR="009A0D8C" w:rsidRPr="004421BA" w14:paraId="3CCA272E" w14:textId="77777777" w:rsidTr="004421BA">
        <w:trPr>
          <w:trHeight w:val="290"/>
          <w:jc w:val="center"/>
        </w:trPr>
        <w:tc>
          <w:tcPr>
            <w:tcW w:w="1232" w:type="dxa"/>
            <w:tcBorders>
              <w:top w:val="single" w:sz="4" w:space="0" w:color="8EA9DB"/>
              <w:left w:val="single" w:sz="4" w:space="0" w:color="auto"/>
              <w:bottom w:val="single" w:sz="4" w:space="0" w:color="auto"/>
              <w:right w:val="nil"/>
            </w:tcBorders>
            <w:shd w:val="clear" w:color="auto" w:fill="B8CCE4" w:themeFill="accent1" w:themeFillTint="66"/>
            <w:noWrap/>
            <w:vAlign w:val="bottom"/>
            <w:hideMark/>
          </w:tcPr>
          <w:p w14:paraId="31A25B3D" w14:textId="77777777" w:rsidR="009A0D8C" w:rsidRPr="004421BA" w:rsidRDefault="009A0D8C" w:rsidP="009A0D8C">
            <w:pPr>
              <w:jc w:val="center"/>
              <w:rPr>
                <w:color w:val="000000"/>
                <w:lang w:val="fr-FR" w:eastAsia="fr-FR"/>
              </w:rPr>
            </w:pPr>
            <w:r w:rsidRPr="004421BA">
              <w:rPr>
                <w:color w:val="000000"/>
                <w:lang w:val="fr-FR" w:eastAsia="fr-FR"/>
              </w:rPr>
              <w:t>Total</w:t>
            </w:r>
          </w:p>
        </w:tc>
        <w:tc>
          <w:tcPr>
            <w:tcW w:w="988" w:type="dxa"/>
            <w:tcBorders>
              <w:top w:val="single" w:sz="4" w:space="0" w:color="8EA9DB"/>
              <w:left w:val="nil"/>
              <w:bottom w:val="single" w:sz="4" w:space="0" w:color="auto"/>
              <w:right w:val="nil"/>
            </w:tcBorders>
            <w:shd w:val="clear" w:color="auto" w:fill="B8CCE4" w:themeFill="accent1" w:themeFillTint="66"/>
            <w:vAlign w:val="bottom"/>
          </w:tcPr>
          <w:p w14:paraId="1049E422" w14:textId="5A756CD0" w:rsidR="009A0D8C" w:rsidRPr="004421BA" w:rsidRDefault="000D29C5" w:rsidP="004421BA">
            <w:pPr>
              <w:jc w:val="center"/>
              <w:rPr>
                <w:color w:val="000000"/>
                <w:lang w:val="fr-FR" w:eastAsia="fr-FR"/>
              </w:rPr>
            </w:pPr>
            <w:r w:rsidRPr="004421BA">
              <w:rPr>
                <w:color w:val="000000"/>
                <w:lang w:val="fr-FR" w:eastAsia="fr-FR"/>
              </w:rPr>
              <w:t>397</w:t>
            </w:r>
          </w:p>
        </w:tc>
        <w:tc>
          <w:tcPr>
            <w:tcW w:w="1216" w:type="dxa"/>
            <w:tcBorders>
              <w:top w:val="single" w:sz="4" w:space="0" w:color="8EA9DB"/>
              <w:left w:val="nil"/>
              <w:bottom w:val="single" w:sz="4" w:space="0" w:color="auto"/>
              <w:right w:val="nil"/>
            </w:tcBorders>
            <w:shd w:val="clear" w:color="auto" w:fill="B8CCE4" w:themeFill="accent1" w:themeFillTint="66"/>
            <w:noWrap/>
            <w:vAlign w:val="bottom"/>
            <w:hideMark/>
          </w:tcPr>
          <w:p w14:paraId="3C92FCAB" w14:textId="091B48C0" w:rsidR="009A0D8C" w:rsidRPr="004421BA" w:rsidRDefault="009A0D8C" w:rsidP="009A0D8C">
            <w:pPr>
              <w:jc w:val="center"/>
              <w:rPr>
                <w:color w:val="000000"/>
                <w:lang w:val="fr-FR" w:eastAsia="fr-FR"/>
              </w:rPr>
            </w:pPr>
            <w:r w:rsidRPr="004421BA">
              <w:rPr>
                <w:color w:val="000000"/>
                <w:lang w:val="fr-FR" w:eastAsia="fr-FR"/>
              </w:rPr>
              <w:t>80</w:t>
            </w:r>
            <w:r w:rsidR="005C6B51">
              <w:rPr>
                <w:color w:val="000000"/>
                <w:lang w:val="fr-FR" w:eastAsia="fr-FR"/>
              </w:rPr>
              <w:t>,</w:t>
            </w:r>
            <w:r w:rsidRPr="004421BA">
              <w:rPr>
                <w:color w:val="000000"/>
                <w:lang w:val="fr-FR" w:eastAsia="fr-FR"/>
              </w:rPr>
              <w:t>525</w:t>
            </w:r>
            <w:r w:rsidR="005C6B51">
              <w:rPr>
                <w:color w:val="000000"/>
                <w:lang w:val="fr-FR" w:eastAsia="fr-FR"/>
              </w:rPr>
              <w:t>.</w:t>
            </w:r>
            <w:r w:rsidRPr="004421BA">
              <w:rPr>
                <w:color w:val="000000"/>
                <w:lang w:val="fr-FR" w:eastAsia="fr-FR"/>
              </w:rPr>
              <w:t>84</w:t>
            </w:r>
          </w:p>
        </w:tc>
        <w:tc>
          <w:tcPr>
            <w:tcW w:w="1216" w:type="dxa"/>
            <w:tcBorders>
              <w:top w:val="single" w:sz="4" w:space="0" w:color="8EA9DB"/>
              <w:left w:val="nil"/>
              <w:bottom w:val="single" w:sz="4" w:space="0" w:color="auto"/>
              <w:right w:val="nil"/>
            </w:tcBorders>
            <w:shd w:val="clear" w:color="auto" w:fill="B8CCE4" w:themeFill="accent1" w:themeFillTint="66"/>
            <w:noWrap/>
            <w:vAlign w:val="bottom"/>
            <w:hideMark/>
          </w:tcPr>
          <w:p w14:paraId="6DF3F25D" w14:textId="76C2AE2F" w:rsidR="009A0D8C" w:rsidRPr="004421BA" w:rsidRDefault="009A0D8C" w:rsidP="009A0D8C">
            <w:pPr>
              <w:jc w:val="center"/>
              <w:rPr>
                <w:color w:val="000000"/>
                <w:lang w:val="fr-FR" w:eastAsia="fr-FR"/>
              </w:rPr>
            </w:pPr>
            <w:r w:rsidRPr="004421BA">
              <w:rPr>
                <w:color w:val="000000"/>
                <w:lang w:val="fr-FR" w:eastAsia="fr-FR"/>
              </w:rPr>
              <w:t>378</w:t>
            </w:r>
            <w:r w:rsidR="005C6B51">
              <w:rPr>
                <w:color w:val="000000"/>
                <w:lang w:val="fr-FR" w:eastAsia="fr-FR"/>
              </w:rPr>
              <w:t>.</w:t>
            </w:r>
            <w:r w:rsidRPr="004421BA">
              <w:rPr>
                <w:color w:val="000000"/>
                <w:lang w:val="fr-FR" w:eastAsia="fr-FR"/>
              </w:rPr>
              <w:t>35</w:t>
            </w:r>
          </w:p>
        </w:tc>
        <w:tc>
          <w:tcPr>
            <w:tcW w:w="1216" w:type="dxa"/>
            <w:tcBorders>
              <w:top w:val="single" w:sz="4" w:space="0" w:color="8EA9DB"/>
              <w:left w:val="nil"/>
              <w:bottom w:val="single" w:sz="4" w:space="0" w:color="auto"/>
              <w:right w:val="nil"/>
            </w:tcBorders>
            <w:shd w:val="clear" w:color="auto" w:fill="B8CCE4" w:themeFill="accent1" w:themeFillTint="66"/>
            <w:noWrap/>
            <w:vAlign w:val="bottom"/>
            <w:hideMark/>
          </w:tcPr>
          <w:p w14:paraId="42A5D1D2" w14:textId="25A1495F" w:rsidR="009A0D8C" w:rsidRPr="004421BA" w:rsidRDefault="009A0D8C" w:rsidP="009A0D8C">
            <w:pPr>
              <w:jc w:val="center"/>
              <w:rPr>
                <w:color w:val="000000"/>
                <w:lang w:val="fr-FR" w:eastAsia="fr-FR"/>
              </w:rPr>
            </w:pPr>
            <w:r w:rsidRPr="004421BA">
              <w:rPr>
                <w:color w:val="000000"/>
                <w:lang w:val="fr-FR" w:eastAsia="fr-FR"/>
              </w:rPr>
              <w:t>87</w:t>
            </w:r>
            <w:r w:rsidR="005C6B51">
              <w:rPr>
                <w:color w:val="000000"/>
                <w:lang w:val="fr-FR" w:eastAsia="fr-FR"/>
              </w:rPr>
              <w:t>,</w:t>
            </w:r>
            <w:r w:rsidRPr="004421BA">
              <w:rPr>
                <w:color w:val="000000"/>
                <w:lang w:val="fr-FR" w:eastAsia="fr-FR"/>
              </w:rPr>
              <w:t>217</w:t>
            </w:r>
            <w:r w:rsidR="005C6B51">
              <w:rPr>
                <w:color w:val="000000"/>
                <w:lang w:val="fr-FR" w:eastAsia="fr-FR"/>
              </w:rPr>
              <w:t>.</w:t>
            </w:r>
            <w:r w:rsidRPr="004421BA">
              <w:rPr>
                <w:color w:val="000000"/>
                <w:lang w:val="fr-FR" w:eastAsia="fr-FR"/>
              </w:rPr>
              <w:t>41</w:t>
            </w:r>
          </w:p>
        </w:tc>
        <w:tc>
          <w:tcPr>
            <w:tcW w:w="1208" w:type="dxa"/>
            <w:tcBorders>
              <w:top w:val="single" w:sz="4" w:space="0" w:color="8EA9DB"/>
              <w:left w:val="nil"/>
              <w:bottom w:val="single" w:sz="4" w:space="0" w:color="auto"/>
              <w:right w:val="single" w:sz="4" w:space="0" w:color="auto"/>
            </w:tcBorders>
            <w:shd w:val="clear" w:color="auto" w:fill="B8CCE4" w:themeFill="accent1" w:themeFillTint="66"/>
            <w:noWrap/>
            <w:vAlign w:val="bottom"/>
            <w:hideMark/>
          </w:tcPr>
          <w:p w14:paraId="6E6F3ED3" w14:textId="37888493" w:rsidR="009A0D8C" w:rsidRPr="00F7553D" w:rsidRDefault="009A0D8C" w:rsidP="00600F5D">
            <w:pPr>
              <w:keepNext/>
              <w:jc w:val="center"/>
              <w:rPr>
                <w:b/>
                <w:bCs/>
                <w:color w:val="000000"/>
                <w:lang w:val="fr-FR" w:eastAsia="fr-FR"/>
              </w:rPr>
            </w:pPr>
            <w:r w:rsidRPr="00F7553D">
              <w:rPr>
                <w:b/>
                <w:bCs/>
                <w:color w:val="000000"/>
                <w:lang w:val="fr-FR" w:eastAsia="fr-FR"/>
              </w:rPr>
              <w:t>168</w:t>
            </w:r>
            <w:r w:rsidR="00B068D3" w:rsidRPr="00F7553D">
              <w:rPr>
                <w:b/>
                <w:bCs/>
                <w:color w:val="000000"/>
                <w:lang w:val="fr-FR" w:eastAsia="fr-FR"/>
              </w:rPr>
              <w:t>,</w:t>
            </w:r>
            <w:r w:rsidRPr="00F7553D">
              <w:rPr>
                <w:b/>
                <w:bCs/>
                <w:color w:val="000000"/>
                <w:lang w:val="fr-FR" w:eastAsia="fr-FR"/>
              </w:rPr>
              <w:t>121</w:t>
            </w:r>
            <w:r w:rsidR="005C6B51" w:rsidRPr="00F7553D">
              <w:rPr>
                <w:b/>
                <w:bCs/>
                <w:color w:val="000000"/>
                <w:lang w:val="fr-FR" w:eastAsia="fr-FR"/>
              </w:rPr>
              <w:t>.</w:t>
            </w:r>
            <w:r w:rsidRPr="00F7553D">
              <w:rPr>
                <w:b/>
                <w:bCs/>
                <w:color w:val="000000"/>
                <w:lang w:val="fr-FR" w:eastAsia="fr-FR"/>
              </w:rPr>
              <w:t>61</w:t>
            </w:r>
          </w:p>
        </w:tc>
      </w:tr>
    </w:tbl>
    <w:p w14:paraId="0CFDA5B7" w14:textId="0B7658E0" w:rsidR="008E5C70" w:rsidRDefault="00600F5D" w:rsidP="00600F5D">
      <w:pPr>
        <w:pStyle w:val="Lgende"/>
        <w:jc w:val="center"/>
        <w:rPr>
          <w:lang w:val="en-GB"/>
        </w:rPr>
      </w:pPr>
      <w:r>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r w:rsidR="00881DA6">
        <w:rPr>
          <w:noProof/>
        </w:rPr>
        <w:t>2</w:t>
      </w:r>
      <w:r>
        <w:rPr>
          <w:color w:val="2B579A"/>
          <w:shd w:val="clear" w:color="auto" w:fill="E6E6E6"/>
        </w:rPr>
        <w:fldChar w:fldCharType="end"/>
      </w:r>
      <w:r>
        <w:t>: Criteria compilation for all energy sectors</w:t>
      </w:r>
    </w:p>
    <w:p w14:paraId="4ED3C67D" w14:textId="77777777" w:rsidR="001B33C3" w:rsidRDefault="00D4383F" w:rsidP="009846BE">
      <w:pPr>
        <w:pStyle w:val="Els-body-text"/>
        <w:rPr>
          <w:lang w:val="en-GB"/>
        </w:rPr>
      </w:pPr>
      <w:r>
        <w:rPr>
          <w:lang w:val="en-GB"/>
        </w:rPr>
        <w:t xml:space="preserve">It can be noted that the global impact of urbanization is significantly lower than </w:t>
      </w:r>
      <w:r w:rsidR="00701171">
        <w:rPr>
          <w:lang w:val="en-GB"/>
        </w:rPr>
        <w:t>the other two criteria</w:t>
      </w:r>
      <w:r w:rsidR="00F253F7">
        <w:rPr>
          <w:lang w:val="en-GB"/>
        </w:rPr>
        <w:t xml:space="preserve">. </w:t>
      </w:r>
      <w:r w:rsidR="00C87C79">
        <w:rPr>
          <w:lang w:val="en-GB"/>
        </w:rPr>
        <w:t xml:space="preserve">This can be explained by the low surfaces accounted for in the calculation of the urbanization criteria, as well as for the values </w:t>
      </w:r>
      <w:r w:rsidR="00BF17F9">
        <w:rPr>
          <w:lang w:val="en-GB"/>
        </w:rPr>
        <w:t xml:space="preserve">given in the EEA database. </w:t>
      </w:r>
    </w:p>
    <w:p w14:paraId="413B5E8A" w14:textId="4B8BFD06" w:rsidR="00BF17F9" w:rsidRPr="008E5C70" w:rsidRDefault="001B33C3" w:rsidP="009846BE">
      <w:pPr>
        <w:pStyle w:val="Els-body-text"/>
        <w:rPr>
          <w:lang w:val="en-GB"/>
        </w:rPr>
      </w:pPr>
      <w:r>
        <w:rPr>
          <w:lang w:val="en-GB"/>
        </w:rPr>
        <w:t>The</w:t>
      </w:r>
      <w:r w:rsidR="00BF17F9">
        <w:rPr>
          <w:lang w:val="en-GB"/>
        </w:rPr>
        <w:t xml:space="preserve"> total carbon footprint </w:t>
      </w:r>
      <w:r>
        <w:rPr>
          <w:lang w:val="en-GB"/>
        </w:rPr>
        <w:t>for the territory is</w:t>
      </w:r>
      <w:r w:rsidR="00BF17F9">
        <w:rPr>
          <w:lang w:val="en-GB"/>
        </w:rPr>
        <w:t xml:space="preserve"> 168 ktCO</w:t>
      </w:r>
      <w:r w:rsidR="00BF17F9" w:rsidRPr="00DD67F3">
        <w:rPr>
          <w:vertAlign w:val="subscript"/>
          <w:lang w:val="en-GB"/>
        </w:rPr>
        <w:t>2</w:t>
      </w:r>
      <w:r w:rsidR="00BF17F9">
        <w:rPr>
          <w:lang w:val="en-GB"/>
        </w:rPr>
        <w:t xml:space="preserve">eq per year, for a total annual production of 2 TWh of energy. Compared to the 2021 </w:t>
      </w:r>
      <w:r w:rsidR="00B46551">
        <w:rPr>
          <w:lang w:val="en-GB"/>
        </w:rPr>
        <w:t xml:space="preserve">energy </w:t>
      </w:r>
      <w:r w:rsidR="00BF17F9">
        <w:rPr>
          <w:lang w:val="en-GB"/>
        </w:rPr>
        <w:t xml:space="preserve">consumption of 12TWh for Oise, this shows that the territory is not energetically independent. It also enlightens the value of nuclear power in the French energy mix, as the nuclear power plant of </w:t>
      </w:r>
      <w:proofErr w:type="spellStart"/>
      <w:r w:rsidR="00BF17F9">
        <w:rPr>
          <w:lang w:val="en-GB"/>
        </w:rPr>
        <w:t>Gravelines</w:t>
      </w:r>
      <w:proofErr w:type="spellEnd"/>
      <w:r w:rsidR="00BF17F9">
        <w:rPr>
          <w:lang w:val="en-GB"/>
        </w:rPr>
        <w:t>, in Nord, France, produces over 28 TWh a year.</w:t>
      </w:r>
    </w:p>
    <w:p w14:paraId="10F352AD" w14:textId="20A1B987" w:rsidR="0008312E" w:rsidRPr="009936A0" w:rsidRDefault="0008312E" w:rsidP="0008312E">
      <w:pPr>
        <w:pStyle w:val="Els-1storder-head"/>
        <w:spacing w:after="120"/>
        <w:rPr>
          <w:lang w:val="en-GB"/>
        </w:rPr>
      </w:pPr>
      <w:r>
        <w:rPr>
          <w:lang w:val="en-GB"/>
        </w:rPr>
        <w:t>Conclusion</w:t>
      </w:r>
      <w:r w:rsidR="001F4A80">
        <w:rPr>
          <w:lang w:val="en-GB"/>
        </w:rPr>
        <w:t xml:space="preserve"> and prospects</w:t>
      </w:r>
    </w:p>
    <w:p w14:paraId="275A4FF0" w14:textId="10A67762" w:rsidR="00641201" w:rsidRDefault="00F56711" w:rsidP="001412F7">
      <w:pPr>
        <w:pStyle w:val="Els-body-text"/>
      </w:pPr>
      <w:r w:rsidRPr="00F56711">
        <w:t>Th</w:t>
      </w:r>
      <w:r>
        <w:t xml:space="preserve">e </w:t>
      </w:r>
      <w:r w:rsidRPr="00F56711">
        <w:t xml:space="preserve">carbon evaluation </w:t>
      </w:r>
      <w:r>
        <w:t xml:space="preserve">method described in this paper </w:t>
      </w:r>
      <w:r w:rsidR="00C50B4D">
        <w:t xml:space="preserve">is based on a territorial and spatial </w:t>
      </w:r>
      <w:r w:rsidR="00303476">
        <w:t>approach, and the innovative perspective of its centering on a given infrastructure allows to evaluate</w:t>
      </w:r>
      <w:r w:rsidR="00A23556">
        <w:t xml:space="preserve"> </w:t>
      </w:r>
      <w:r w:rsidR="00B1245E">
        <w:t xml:space="preserve">the situation of an energy mix at territorial scales. </w:t>
      </w:r>
      <w:r w:rsidR="002133AD">
        <w:t>The flexibility it offers enables numerous p</w:t>
      </w:r>
      <w:r w:rsidR="00673BF7">
        <w:t xml:space="preserve">ossible variations </w:t>
      </w:r>
      <w:r w:rsidR="00A14438">
        <w:t xml:space="preserve">of </w:t>
      </w:r>
      <w:r w:rsidR="00673BF7">
        <w:t>parameters,</w:t>
      </w:r>
      <w:r w:rsidR="00A14438">
        <w:t xml:space="preserve"> depending on the availability of data, thus allowing for eventual studies more precise than that made in the application. This method also has versatility</w:t>
      </w:r>
      <w:r w:rsidR="00673BF7">
        <w:t xml:space="preserve"> in the use that can be made of it</w:t>
      </w:r>
      <w:r w:rsidR="00A14438">
        <w:t>s results</w:t>
      </w:r>
      <w:r w:rsidR="00673BF7">
        <w:t xml:space="preserve">. </w:t>
      </w:r>
      <w:r w:rsidR="00A14438">
        <w:t>It</w:t>
      </w:r>
      <w:r w:rsidR="00D113A7">
        <w:t xml:space="preserve"> </w:t>
      </w:r>
      <w:r w:rsidR="00D5348D">
        <w:t>can be used</w:t>
      </w:r>
      <w:r w:rsidR="00D5348D" w:rsidRPr="00F56711">
        <w:t xml:space="preserve"> </w:t>
      </w:r>
      <w:r w:rsidRPr="00F56711">
        <w:t xml:space="preserve">to </w:t>
      </w:r>
      <w:r w:rsidR="00D5348D">
        <w:t>monitor</w:t>
      </w:r>
      <w:r w:rsidR="00D5348D" w:rsidRPr="00F56711">
        <w:t xml:space="preserve"> </w:t>
      </w:r>
      <w:r w:rsidR="00D113A7">
        <w:t>temporal</w:t>
      </w:r>
      <w:r w:rsidRPr="00F56711">
        <w:t xml:space="preserve"> evolution of the energy mix</w:t>
      </w:r>
      <w:r w:rsidR="00D113A7">
        <w:t xml:space="preserve">, as well as </w:t>
      </w:r>
      <w:r w:rsidR="00D5348D">
        <w:t>to assess</w:t>
      </w:r>
      <w:r w:rsidR="00A14438">
        <w:t xml:space="preserve"> the </w:t>
      </w:r>
      <w:r w:rsidR="00D113A7">
        <w:t xml:space="preserve">potential of an energy </w:t>
      </w:r>
      <w:r w:rsidR="005A5ADE">
        <w:t>facility development</w:t>
      </w:r>
      <w:r w:rsidR="00D113A7">
        <w:t xml:space="preserve"> project</w:t>
      </w:r>
      <w:r w:rsidR="002E2FF9">
        <w:t>. Results</w:t>
      </w:r>
      <w:r w:rsidR="006F02D5">
        <w:t xml:space="preserve"> of this study</w:t>
      </w:r>
      <w:r w:rsidR="002E2FF9">
        <w:t xml:space="preserve"> highlight the importance of proximity in the </w:t>
      </w:r>
      <w:r w:rsidR="00B943ED">
        <w:t xml:space="preserve">energy mix carbon </w:t>
      </w:r>
      <w:r w:rsidR="00A14438">
        <w:t>footprint and</w:t>
      </w:r>
      <w:r w:rsidR="00B943ED">
        <w:t xml:space="preserve"> correlates the IPCC statement that </w:t>
      </w:r>
      <w:r w:rsidR="001412F7">
        <w:t xml:space="preserve">territorial levers are essential to </w:t>
      </w:r>
      <w:r w:rsidR="00650DD2">
        <w:t>the ecological and energetic transition worldwide</w:t>
      </w:r>
      <w:r w:rsidR="00F869AA">
        <w:t>.</w:t>
      </w:r>
    </w:p>
    <w:p w14:paraId="144DE6BF" w14:textId="21B5B87A" w:rsidR="008D2649" w:rsidRDefault="008D2649" w:rsidP="008D2649">
      <w:pPr>
        <w:pStyle w:val="Els-reference-head"/>
      </w:pPr>
      <w:r>
        <w:lastRenderedPageBreak/>
        <w:t>References</w:t>
      </w:r>
      <w:r w:rsidR="009B3EF4">
        <w:t xml:space="preserve"> </w:t>
      </w:r>
    </w:p>
    <w:p w14:paraId="73161AAB" w14:textId="77777777" w:rsidR="003D62E2" w:rsidRPr="003D62E2" w:rsidRDefault="003D62E2" w:rsidP="003D62E2">
      <w:pPr>
        <w:pStyle w:val="Els-referenceno-number"/>
        <w:rPr>
          <w:lang w:val="en-US"/>
        </w:rPr>
      </w:pPr>
    </w:p>
    <w:p w14:paraId="3313B4E9" w14:textId="20264A6C" w:rsidR="008E3D67" w:rsidRPr="00CF2EB2" w:rsidRDefault="00C60537" w:rsidP="00C81994">
      <w:pPr>
        <w:pStyle w:val="Bibliographie"/>
        <w:spacing w:after="80"/>
        <w:jc w:val="both"/>
        <w:rPr>
          <w:sz w:val="18"/>
          <w:szCs w:val="18"/>
        </w:rPr>
      </w:pPr>
      <w:r w:rsidRPr="00CF2EB2">
        <w:rPr>
          <w:sz w:val="18"/>
          <w:szCs w:val="18"/>
          <w:lang w:val="en-US"/>
        </w:rPr>
        <w:t xml:space="preserve">Base </w:t>
      </w:r>
      <w:proofErr w:type="spellStart"/>
      <w:r w:rsidRPr="00CF2EB2">
        <w:rPr>
          <w:sz w:val="18"/>
          <w:szCs w:val="18"/>
          <w:lang w:val="en-US"/>
        </w:rPr>
        <w:t>Empreinte</w:t>
      </w:r>
      <w:proofErr w:type="spellEnd"/>
      <w:r w:rsidRPr="00CF2EB2">
        <w:rPr>
          <w:sz w:val="18"/>
          <w:szCs w:val="18"/>
          <w:lang w:val="en-US"/>
        </w:rPr>
        <w:t xml:space="preserve">® [Online]. </w:t>
      </w:r>
      <w:r w:rsidRPr="00CF2EB2">
        <w:rPr>
          <w:sz w:val="18"/>
          <w:szCs w:val="18"/>
        </w:rPr>
        <w:t xml:space="preserve">Date </w:t>
      </w:r>
      <w:r w:rsidR="008E3D67" w:rsidRPr="00CF2EB2">
        <w:rPr>
          <w:sz w:val="18"/>
          <w:szCs w:val="18"/>
        </w:rPr>
        <w:t>consulted:</w:t>
      </w:r>
      <w:r w:rsidRPr="00CF2EB2">
        <w:rPr>
          <w:sz w:val="18"/>
          <w:szCs w:val="18"/>
        </w:rPr>
        <w:t xml:space="preserve"> </w:t>
      </w:r>
      <w:r w:rsidR="00A14438" w:rsidRPr="00CF2EB2">
        <w:rPr>
          <w:sz w:val="18"/>
          <w:szCs w:val="18"/>
        </w:rPr>
        <w:t>27</w:t>
      </w:r>
      <w:r w:rsidRPr="00CF2EB2">
        <w:rPr>
          <w:sz w:val="18"/>
          <w:szCs w:val="18"/>
        </w:rPr>
        <w:t>/1</w:t>
      </w:r>
      <w:r w:rsidR="00A14438" w:rsidRPr="00CF2EB2">
        <w:rPr>
          <w:sz w:val="18"/>
          <w:szCs w:val="18"/>
        </w:rPr>
        <w:t>0</w:t>
      </w:r>
      <w:r w:rsidRPr="00CF2EB2">
        <w:rPr>
          <w:sz w:val="18"/>
          <w:szCs w:val="18"/>
        </w:rPr>
        <w:t xml:space="preserve">/2023. Available </w:t>
      </w:r>
      <w:r w:rsidR="008E3D67" w:rsidRPr="00CF2EB2">
        <w:rPr>
          <w:sz w:val="18"/>
          <w:szCs w:val="18"/>
        </w:rPr>
        <w:t>from:</w:t>
      </w:r>
      <w:r w:rsidRPr="00CF2EB2">
        <w:rPr>
          <w:sz w:val="18"/>
          <w:szCs w:val="18"/>
        </w:rPr>
        <w:t xml:space="preserve"> &lt;</w:t>
      </w:r>
      <w:r w:rsidR="008E3D67" w:rsidRPr="00CF2EB2">
        <w:rPr>
          <w:sz w:val="18"/>
          <w:szCs w:val="18"/>
        </w:rPr>
        <w:t>https://base-empreinte.ademe.fr/documentation/base-carbone</w:t>
      </w:r>
      <w:r w:rsidRPr="00CF2EB2">
        <w:rPr>
          <w:sz w:val="18"/>
          <w:szCs w:val="18"/>
        </w:rPr>
        <w:t xml:space="preserve">&gt;. </w:t>
      </w:r>
    </w:p>
    <w:p w14:paraId="15988AB0" w14:textId="162A1061" w:rsidR="00C81994" w:rsidRPr="00CF2EB2" w:rsidRDefault="004061DA" w:rsidP="00C81994">
      <w:pPr>
        <w:pStyle w:val="Bibliographie"/>
        <w:spacing w:after="80"/>
        <w:jc w:val="both"/>
        <w:rPr>
          <w:sz w:val="18"/>
          <w:szCs w:val="18"/>
        </w:rPr>
      </w:pPr>
      <w:r w:rsidRPr="00CF2EB2">
        <w:rPr>
          <w:sz w:val="18"/>
          <w:szCs w:val="18"/>
        </w:rPr>
        <w:fldChar w:fldCharType="begin"/>
      </w:r>
      <w:r w:rsidR="004A05A0" w:rsidRPr="00CF2EB2">
        <w:rPr>
          <w:sz w:val="18"/>
          <w:szCs w:val="18"/>
        </w:rPr>
        <w:instrText xml:space="preserve"> ADDIN ZOTERO_BIBL {"uncited":[],"omitted":[],"custom":[]} CSL_BIBLIOGRAPHY </w:instrText>
      </w:r>
      <w:r w:rsidRPr="00CF2EB2">
        <w:rPr>
          <w:sz w:val="18"/>
          <w:szCs w:val="18"/>
        </w:rPr>
        <w:fldChar w:fldCharType="separate"/>
      </w:r>
      <w:r w:rsidR="00C81994" w:rsidRPr="00CF2EB2">
        <w:rPr>
          <w:sz w:val="18"/>
          <w:szCs w:val="18"/>
        </w:rPr>
        <w:t>Evans, A., Strezov, V., Evans, T.J., 2009. Assessment of sustainability indicators for renewable energy technologies. Renewable and Sustainable Energy Reviews, volume 13, n° 5. p. 1082-1088. DOI : 10.1016/j.rser.2008.03.008</w:t>
      </w:r>
    </w:p>
    <w:p w14:paraId="08E6B41E" w14:textId="57CAB261" w:rsidR="00C81994" w:rsidRPr="00CF2EB2" w:rsidRDefault="00C81994" w:rsidP="00C81994">
      <w:pPr>
        <w:pStyle w:val="Bibliographie"/>
        <w:spacing w:after="80"/>
        <w:jc w:val="both"/>
        <w:rPr>
          <w:sz w:val="18"/>
          <w:szCs w:val="18"/>
        </w:rPr>
      </w:pPr>
      <w:r w:rsidRPr="00CF2EB2">
        <w:rPr>
          <w:sz w:val="18"/>
          <w:szCs w:val="18"/>
        </w:rPr>
        <w:t>European Environment Agency’s home page [Online]. Date consulted : 13/11/2023. Available from: &lt;https://www.eea.europa.eu/publications/carbon-stocks-and-sequestration-rates &gt;.</w:t>
      </w:r>
    </w:p>
    <w:p w14:paraId="1D2A16FF" w14:textId="7F387053" w:rsidR="00C81994" w:rsidRPr="00CF2EB2" w:rsidRDefault="00C81994" w:rsidP="00C81994">
      <w:pPr>
        <w:pStyle w:val="Bibliographie"/>
        <w:spacing w:after="80"/>
        <w:jc w:val="both"/>
        <w:rPr>
          <w:sz w:val="18"/>
          <w:szCs w:val="18"/>
        </w:rPr>
      </w:pPr>
      <w:r w:rsidRPr="00CF2EB2">
        <w:rPr>
          <w:sz w:val="18"/>
          <w:szCs w:val="18"/>
        </w:rPr>
        <w:t>Harris, N., Gibbs, D., 2021. Forests Absorb Twice As Much Carbon As They Emit Each Year. [Online]Date consulted: 23/11/2023. Available from: &lt;https://www.wri.org/insights/forests-absorb-twice-much-carbon-they-emit-each-year&gt;.</w:t>
      </w:r>
    </w:p>
    <w:p w14:paraId="72C0E5C9" w14:textId="77777777" w:rsidR="00C81994" w:rsidRPr="00CF2EB2" w:rsidRDefault="00C81994" w:rsidP="00C81994">
      <w:pPr>
        <w:pStyle w:val="Bibliographie"/>
        <w:spacing w:after="80"/>
        <w:jc w:val="both"/>
        <w:rPr>
          <w:sz w:val="18"/>
          <w:szCs w:val="18"/>
        </w:rPr>
      </w:pPr>
      <w:r w:rsidRPr="00F7553D">
        <w:rPr>
          <w:sz w:val="18"/>
          <w:szCs w:val="18"/>
          <w:lang w:val="fr-FR"/>
        </w:rPr>
        <w:t xml:space="preserve">Ilbahar, E., Cebi, S., Kahraman, C., 2019. </w:t>
      </w:r>
      <w:r w:rsidRPr="00CF2EB2">
        <w:rPr>
          <w:sz w:val="18"/>
          <w:szCs w:val="18"/>
        </w:rPr>
        <w:t>A state-of-the-art review on multi-attribute renewable energy decision making. Energy Strategy Reviews, volume 25, p. 18-33. DOI : 10.1016/j.esr.2019.04.014</w:t>
      </w:r>
    </w:p>
    <w:p w14:paraId="6D3C5637" w14:textId="77777777" w:rsidR="00C81994" w:rsidRPr="00CF2EB2" w:rsidRDefault="00C81994" w:rsidP="00C81994">
      <w:pPr>
        <w:pStyle w:val="Bibliographie"/>
        <w:spacing w:after="80"/>
        <w:jc w:val="both"/>
        <w:rPr>
          <w:sz w:val="18"/>
          <w:szCs w:val="18"/>
        </w:rPr>
      </w:pPr>
      <w:r w:rsidRPr="00CF2EB2">
        <w:rPr>
          <w:sz w:val="18"/>
          <w:szCs w:val="18"/>
        </w:rPr>
        <w:t>Kavvadias, K.C., Quoilin, S., 2018. Exploiting waste heat potential by long distance heat transmission: Design considerations and techno-economic assessment. Applied Energy, volume 216, p. 452-465. DOI : 10.1016/j.apenergy.2018.02.080</w:t>
      </w:r>
    </w:p>
    <w:p w14:paraId="3EC4621C" w14:textId="77777777" w:rsidR="00C81994" w:rsidRPr="00CF2EB2" w:rsidRDefault="00C81994" w:rsidP="00C81994">
      <w:pPr>
        <w:pStyle w:val="Bibliographie"/>
        <w:spacing w:after="80"/>
        <w:jc w:val="both"/>
        <w:rPr>
          <w:sz w:val="18"/>
          <w:szCs w:val="18"/>
        </w:rPr>
      </w:pPr>
      <w:r w:rsidRPr="00CF2EB2">
        <w:rPr>
          <w:sz w:val="18"/>
          <w:szCs w:val="18"/>
        </w:rPr>
        <w:t>Lal, R., Smith, P., Jungkunst, H.F., Mitsch, W.J., Lehmann, J., Nair, P.K.R., McBratney, A.B., Sá, J.C. de M., Schneider, J., Zinn, Y.L., Skorupa, A.L.A., Zhang, H.-L., Minasny, B., Srinivasrao, C., Ravindranath, N.H., 2018. The carbon sequestration potential of terrestrial ecosystems. Journal of Soil and Water Conservation, volume 73, n° 6. p. 145A-152A. DOI : 10.2489/jswc.73.6.145A</w:t>
      </w:r>
    </w:p>
    <w:p w14:paraId="7A87A1E2" w14:textId="77777777" w:rsidR="00C81994" w:rsidRPr="00CF2EB2" w:rsidRDefault="00C81994" w:rsidP="00C81994">
      <w:pPr>
        <w:pStyle w:val="Bibliographie"/>
        <w:spacing w:after="80"/>
        <w:jc w:val="both"/>
        <w:rPr>
          <w:sz w:val="18"/>
          <w:szCs w:val="18"/>
        </w:rPr>
      </w:pPr>
      <w:r w:rsidRPr="00CF2EB2">
        <w:rPr>
          <w:sz w:val="18"/>
          <w:szCs w:val="18"/>
        </w:rPr>
        <w:t>ORE [Online]. Date consulted: 20/09/2023. Available from: &lt;https://www.agenceore.fr/opendata/registre-national-des-installations-de-production-et-de-stockage-delectricite-au-3108202 &gt;</w:t>
      </w:r>
    </w:p>
    <w:p w14:paraId="7915F83C" w14:textId="77777777" w:rsidR="00C81994" w:rsidRPr="00CF2EB2" w:rsidRDefault="00C81994" w:rsidP="00C81994">
      <w:pPr>
        <w:spacing w:after="80"/>
        <w:jc w:val="both"/>
        <w:rPr>
          <w:sz w:val="18"/>
          <w:szCs w:val="18"/>
        </w:rPr>
      </w:pPr>
      <w:r w:rsidRPr="00CF2EB2">
        <w:rPr>
          <w:sz w:val="18"/>
          <w:szCs w:val="18"/>
        </w:rPr>
        <w:t>ODRE [Online]. Date consulted: 20/09/2023. Available from: &lt;https://odre.opendatasoft.com/explore/dataset/points-dinjection-de-biomethane-en-france/information/&gt;</w:t>
      </w:r>
    </w:p>
    <w:p w14:paraId="0929C356" w14:textId="22376840" w:rsidR="00C81994" w:rsidRPr="00CF2EB2" w:rsidRDefault="00C81994" w:rsidP="00C81994">
      <w:pPr>
        <w:spacing w:after="80"/>
        <w:jc w:val="both"/>
        <w:rPr>
          <w:sz w:val="18"/>
          <w:szCs w:val="18"/>
        </w:rPr>
      </w:pPr>
      <w:r w:rsidRPr="00CF2EB2">
        <w:rPr>
          <w:sz w:val="18"/>
          <w:szCs w:val="18"/>
        </w:rPr>
        <w:t>Østergaard, P.A., Sperling, K., 2014. Towards Sustainable Energy Planning and Management. International Journal of Sustainable Energy Planning and Management, p. 1-5 Pages. DOI : 10.5278/IJSEPM.2014.1.1</w:t>
      </w:r>
    </w:p>
    <w:p w14:paraId="5824AEB2" w14:textId="77777777" w:rsidR="00C81994" w:rsidRPr="00CF2EB2" w:rsidRDefault="00C81994" w:rsidP="00C81994">
      <w:pPr>
        <w:pStyle w:val="Bibliographie"/>
        <w:spacing w:after="80"/>
        <w:jc w:val="both"/>
        <w:rPr>
          <w:sz w:val="18"/>
          <w:szCs w:val="18"/>
        </w:rPr>
      </w:pPr>
      <w:r w:rsidRPr="00CF2EB2">
        <w:rPr>
          <w:sz w:val="18"/>
          <w:szCs w:val="18"/>
        </w:rPr>
        <w:t>Turconi, R., Boldrin, A., Astrup, T., 2013. Life cycle assessment (LCA) of electricity generation technologies: Overview, comparability and limitations. Renewable and Sustainable Energy Reviews, volume 28, p. 555-565. DOI : 10.1016/j.rser.2013.08.013</w:t>
      </w:r>
    </w:p>
    <w:p w14:paraId="124EC3D9" w14:textId="77777777" w:rsidR="00C81994" w:rsidRPr="00CF2EB2" w:rsidRDefault="00C81994" w:rsidP="00C81994">
      <w:pPr>
        <w:pStyle w:val="Bibliographie"/>
        <w:spacing w:after="80"/>
        <w:jc w:val="both"/>
        <w:rPr>
          <w:sz w:val="18"/>
          <w:szCs w:val="18"/>
        </w:rPr>
      </w:pPr>
      <w:r w:rsidRPr="00CF2EB2">
        <w:rPr>
          <w:sz w:val="18"/>
          <w:szCs w:val="18"/>
        </w:rPr>
        <w:t>Von Der Assen, N., Voll, P., Peters, M., Bardow, A., 2014. Life cycle assessment of CO 2 capture and utilization: a tutorial review. Chem. Soc. Rev., volume 43, n° 23. p. 7982-7994. DOI : 10.1039/C3CS60373C</w:t>
      </w:r>
    </w:p>
    <w:p w14:paraId="72BC25DC" w14:textId="5DF72F9B" w:rsidR="00C81994" w:rsidRPr="00CF2EB2" w:rsidRDefault="00C81994" w:rsidP="00C81994">
      <w:pPr>
        <w:pStyle w:val="Bibliographie"/>
        <w:spacing w:after="80"/>
        <w:jc w:val="both"/>
        <w:rPr>
          <w:sz w:val="18"/>
          <w:szCs w:val="18"/>
        </w:rPr>
      </w:pPr>
      <w:r w:rsidRPr="00CF2EB2">
        <w:rPr>
          <w:sz w:val="18"/>
          <w:szCs w:val="18"/>
        </w:rPr>
        <w:t>Wiedmann, T., Minx, J.</w:t>
      </w:r>
      <w:r w:rsidR="00B41A3E" w:rsidRPr="00CF2EB2">
        <w:rPr>
          <w:sz w:val="18"/>
          <w:szCs w:val="18"/>
        </w:rPr>
        <w:t>, 2008.</w:t>
      </w:r>
      <w:r w:rsidRPr="00CF2EB2">
        <w:rPr>
          <w:sz w:val="18"/>
          <w:szCs w:val="18"/>
        </w:rPr>
        <w:t xml:space="preserve"> A Definition of ‘Carbon Footprint.’</w:t>
      </w:r>
      <w:r w:rsidR="00B41A3E" w:rsidRPr="00CF2EB2">
        <w:rPr>
          <w:sz w:val="18"/>
          <w:szCs w:val="18"/>
        </w:rPr>
        <w:t xml:space="preserve"> CC Pertsova, Ecological Economics Research Trends. 2. 55-65.</w:t>
      </w:r>
    </w:p>
    <w:p w14:paraId="08E05D39" w14:textId="66DCE30C" w:rsidR="008D2649" w:rsidRDefault="004061DA" w:rsidP="00C81994">
      <w:pPr>
        <w:pStyle w:val="Els-referenceno-number"/>
        <w:spacing w:after="80"/>
        <w:ind w:left="0" w:firstLine="0"/>
        <w:jc w:val="both"/>
        <w:rPr>
          <w:lang w:val="en-US"/>
        </w:rPr>
      </w:pPr>
      <w:r w:rsidRPr="00CF2EB2">
        <w:rPr>
          <w:noProof w:val="0"/>
          <w:szCs w:val="18"/>
        </w:rPr>
        <w:fldChar w:fldCharType="end"/>
      </w:r>
    </w:p>
    <w:sectPr w:rsidR="008D2649"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B52B7" w14:textId="77777777" w:rsidR="003F023D" w:rsidRDefault="003F023D">
      <w:r>
        <w:separator/>
      </w:r>
    </w:p>
  </w:endnote>
  <w:endnote w:type="continuationSeparator" w:id="0">
    <w:p w14:paraId="01BFCE7F" w14:textId="77777777" w:rsidR="003F023D" w:rsidRDefault="003F023D">
      <w:r>
        <w:continuationSeparator/>
      </w:r>
    </w:p>
  </w:endnote>
  <w:endnote w:type="continuationNotice" w:id="1">
    <w:p w14:paraId="57AECA9F" w14:textId="77777777" w:rsidR="003F023D" w:rsidRDefault="003F0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80D64" w14:textId="77777777" w:rsidR="003F023D" w:rsidRDefault="003F023D">
      <w:r>
        <w:separator/>
      </w:r>
    </w:p>
  </w:footnote>
  <w:footnote w:type="continuationSeparator" w:id="0">
    <w:p w14:paraId="60D82F1F" w14:textId="77777777" w:rsidR="003F023D" w:rsidRDefault="003F023D">
      <w:r>
        <w:continuationSeparator/>
      </w:r>
    </w:p>
  </w:footnote>
  <w:footnote w:type="continuationNotice" w:id="1">
    <w:p w14:paraId="412E24AA" w14:textId="77777777" w:rsidR="003F023D" w:rsidRDefault="003F0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E6E7D2A" w:rsidR="00DD3D9E" w:rsidRPr="00A324C5" w:rsidRDefault="00DD3D9E">
    <w:pPr>
      <w:pStyle w:val="En-tte"/>
      <w:tabs>
        <w:tab w:val="clear" w:pos="7200"/>
        <w:tab w:val="right" w:pos="7088"/>
      </w:tabs>
      <w:rPr>
        <w:i/>
        <w:lang w:val="fr-FR"/>
      </w:rPr>
    </w:pPr>
    <w:r>
      <w:rPr>
        <w:rStyle w:val="Numrodepage"/>
      </w:rPr>
      <w:tab/>
    </w:r>
    <w:r>
      <w:rPr>
        <w:rStyle w:val="Numrodepage"/>
        <w:i/>
      </w:rPr>
      <w:tab/>
    </w:r>
    <w:r w:rsidR="003607CE" w:rsidRPr="003607CE">
      <w:rPr>
        <w:rStyle w:val="Numrodepage"/>
        <w:i/>
        <w:lang w:val="fr-FR"/>
      </w:rPr>
      <w:t>J. J</w:t>
    </w:r>
    <w:r w:rsidR="00A324C5">
      <w:rPr>
        <w:rStyle w:val="Numrodepage"/>
        <w:i/>
        <w:lang w:val="fr-FR"/>
      </w:rPr>
      <w:t>ean</w:t>
    </w:r>
    <w:r w:rsidR="003607CE" w:rsidRPr="003607CE">
      <w:rPr>
        <w:rStyle w:val="Numrodepage"/>
        <w:i/>
        <w:lang w:val="fr-FR"/>
      </w:rPr>
      <w:t xml:space="preserve"> V</w:t>
    </w:r>
    <w:r w:rsidR="00A324C5">
      <w:rPr>
        <w:rStyle w:val="Numrodepage"/>
        <w:i/>
        <w:lang w:val="fr-FR"/>
      </w:rPr>
      <w:t>ictor</w:t>
    </w:r>
    <w:r w:rsidR="003607CE" w:rsidRPr="003607CE">
      <w:rPr>
        <w:rStyle w:val="Numrodepage"/>
        <w:i/>
        <w:lang w:val="fr-FR"/>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7F279219" w:rsidR="00DD3D9E" w:rsidRPr="00CF2EB2" w:rsidRDefault="003F205C" w:rsidP="003F205C">
    <w:pPr>
      <w:pStyle w:val="En-tte"/>
      <w:tabs>
        <w:tab w:val="clear" w:pos="7200"/>
        <w:tab w:val="right" w:pos="7088"/>
      </w:tabs>
      <w:rPr>
        <w:i/>
        <w:sz w:val="24"/>
      </w:rPr>
    </w:pPr>
    <w:r w:rsidRPr="00F7553D">
      <w:rPr>
        <w:rStyle w:val="Numrodepage"/>
        <w:i/>
      </w:rPr>
      <w:t>Development of an Energy Mix evaluation method of an infrastructure based on a multi-layered territorial approach.</w:t>
    </w:r>
    <w:r w:rsidR="00DD3D9E">
      <w:rPr>
        <w:rStyle w:val="Numrodepage"/>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86202457">
    <w:abstractNumId w:val="11"/>
  </w:num>
  <w:num w:numId="2" w16cid:durableId="466044177">
    <w:abstractNumId w:val="11"/>
  </w:num>
  <w:num w:numId="3" w16cid:durableId="178545188">
    <w:abstractNumId w:val="11"/>
  </w:num>
  <w:num w:numId="4" w16cid:durableId="1082065730">
    <w:abstractNumId w:val="11"/>
  </w:num>
  <w:num w:numId="5" w16cid:durableId="811019687">
    <w:abstractNumId w:val="0"/>
  </w:num>
  <w:num w:numId="6" w16cid:durableId="67509196">
    <w:abstractNumId w:val="6"/>
  </w:num>
  <w:num w:numId="7" w16cid:durableId="1798597355">
    <w:abstractNumId w:val="12"/>
  </w:num>
  <w:num w:numId="8" w16cid:durableId="157426669">
    <w:abstractNumId w:val="1"/>
  </w:num>
  <w:num w:numId="9" w16cid:durableId="371467930">
    <w:abstractNumId w:val="10"/>
  </w:num>
  <w:num w:numId="10" w16cid:durableId="1926528702">
    <w:abstractNumId w:val="14"/>
  </w:num>
  <w:num w:numId="11" w16cid:durableId="1859848757">
    <w:abstractNumId w:val="13"/>
  </w:num>
  <w:num w:numId="12" w16cid:durableId="1219784993">
    <w:abstractNumId w:val="5"/>
  </w:num>
  <w:num w:numId="13" w16cid:durableId="1132360223">
    <w:abstractNumId w:val="8"/>
  </w:num>
  <w:num w:numId="14" w16cid:durableId="1172263196">
    <w:abstractNumId w:val="2"/>
  </w:num>
  <w:num w:numId="15" w16cid:durableId="70086605">
    <w:abstractNumId w:val="7"/>
  </w:num>
  <w:num w:numId="16" w16cid:durableId="61027826">
    <w:abstractNumId w:val="3"/>
  </w:num>
  <w:num w:numId="17" w16cid:durableId="820732344">
    <w:abstractNumId w:val="4"/>
  </w:num>
  <w:num w:numId="18" w16cid:durableId="12650693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BF7"/>
    <w:rsid w:val="00001C99"/>
    <w:rsid w:val="00002E4B"/>
    <w:rsid w:val="00003F75"/>
    <w:rsid w:val="000050E1"/>
    <w:rsid w:val="00005AEE"/>
    <w:rsid w:val="00014470"/>
    <w:rsid w:val="00014CCF"/>
    <w:rsid w:val="00014FD4"/>
    <w:rsid w:val="00016CAC"/>
    <w:rsid w:val="0002000A"/>
    <w:rsid w:val="00023657"/>
    <w:rsid w:val="00024761"/>
    <w:rsid w:val="00025288"/>
    <w:rsid w:val="00026B28"/>
    <w:rsid w:val="000272DE"/>
    <w:rsid w:val="0002790C"/>
    <w:rsid w:val="00031262"/>
    <w:rsid w:val="00032F4E"/>
    <w:rsid w:val="0003458A"/>
    <w:rsid w:val="00035AAC"/>
    <w:rsid w:val="00040E5F"/>
    <w:rsid w:val="00040E89"/>
    <w:rsid w:val="00041349"/>
    <w:rsid w:val="00043106"/>
    <w:rsid w:val="0004596A"/>
    <w:rsid w:val="00045F53"/>
    <w:rsid w:val="00046370"/>
    <w:rsid w:val="00047A11"/>
    <w:rsid w:val="000506A1"/>
    <w:rsid w:val="000508F9"/>
    <w:rsid w:val="00053A5D"/>
    <w:rsid w:val="00053C03"/>
    <w:rsid w:val="00054D54"/>
    <w:rsid w:val="0006021D"/>
    <w:rsid w:val="000605CD"/>
    <w:rsid w:val="00061176"/>
    <w:rsid w:val="00062FC7"/>
    <w:rsid w:val="00063550"/>
    <w:rsid w:val="0006413D"/>
    <w:rsid w:val="0006446A"/>
    <w:rsid w:val="00064E14"/>
    <w:rsid w:val="00065142"/>
    <w:rsid w:val="0006539D"/>
    <w:rsid w:val="00065784"/>
    <w:rsid w:val="00066E3C"/>
    <w:rsid w:val="00067BD7"/>
    <w:rsid w:val="00067C0B"/>
    <w:rsid w:val="0007070E"/>
    <w:rsid w:val="00070CED"/>
    <w:rsid w:val="000713C0"/>
    <w:rsid w:val="0007275C"/>
    <w:rsid w:val="00072850"/>
    <w:rsid w:val="00072A0D"/>
    <w:rsid w:val="00073578"/>
    <w:rsid w:val="00074028"/>
    <w:rsid w:val="00074A93"/>
    <w:rsid w:val="00076FA7"/>
    <w:rsid w:val="00077898"/>
    <w:rsid w:val="000779E2"/>
    <w:rsid w:val="00081526"/>
    <w:rsid w:val="00081F70"/>
    <w:rsid w:val="000826D6"/>
    <w:rsid w:val="0008312E"/>
    <w:rsid w:val="00083231"/>
    <w:rsid w:val="000838B4"/>
    <w:rsid w:val="00086F04"/>
    <w:rsid w:val="00090F8F"/>
    <w:rsid w:val="00091E67"/>
    <w:rsid w:val="00094EFA"/>
    <w:rsid w:val="000951D4"/>
    <w:rsid w:val="000958FD"/>
    <w:rsid w:val="00096AEF"/>
    <w:rsid w:val="000A05B9"/>
    <w:rsid w:val="000A1950"/>
    <w:rsid w:val="000A197F"/>
    <w:rsid w:val="000A5B06"/>
    <w:rsid w:val="000A5C95"/>
    <w:rsid w:val="000B0ED1"/>
    <w:rsid w:val="000B219E"/>
    <w:rsid w:val="000B23E9"/>
    <w:rsid w:val="000B291D"/>
    <w:rsid w:val="000B3221"/>
    <w:rsid w:val="000B49BA"/>
    <w:rsid w:val="000B7877"/>
    <w:rsid w:val="000C03A1"/>
    <w:rsid w:val="000C03CB"/>
    <w:rsid w:val="000C2143"/>
    <w:rsid w:val="000C2EAF"/>
    <w:rsid w:val="000C5E08"/>
    <w:rsid w:val="000C73B9"/>
    <w:rsid w:val="000C742D"/>
    <w:rsid w:val="000D087B"/>
    <w:rsid w:val="000D21DC"/>
    <w:rsid w:val="000D24C9"/>
    <w:rsid w:val="000D29C5"/>
    <w:rsid w:val="000D2AB1"/>
    <w:rsid w:val="000D3727"/>
    <w:rsid w:val="000D3D9B"/>
    <w:rsid w:val="000D4132"/>
    <w:rsid w:val="000D63A9"/>
    <w:rsid w:val="000D78A1"/>
    <w:rsid w:val="000E165E"/>
    <w:rsid w:val="000E1E24"/>
    <w:rsid w:val="000E23D1"/>
    <w:rsid w:val="000E4710"/>
    <w:rsid w:val="000E73E5"/>
    <w:rsid w:val="000F05C7"/>
    <w:rsid w:val="000F1984"/>
    <w:rsid w:val="000F1C79"/>
    <w:rsid w:val="000F2970"/>
    <w:rsid w:val="000F4C0F"/>
    <w:rsid w:val="000F4E0A"/>
    <w:rsid w:val="000F5CA4"/>
    <w:rsid w:val="000F5F20"/>
    <w:rsid w:val="00101747"/>
    <w:rsid w:val="00101CE0"/>
    <w:rsid w:val="00102BB0"/>
    <w:rsid w:val="0010608C"/>
    <w:rsid w:val="0010608D"/>
    <w:rsid w:val="0010659A"/>
    <w:rsid w:val="00106A05"/>
    <w:rsid w:val="00106F74"/>
    <w:rsid w:val="001070FC"/>
    <w:rsid w:val="00111AE1"/>
    <w:rsid w:val="00113201"/>
    <w:rsid w:val="001139DD"/>
    <w:rsid w:val="00114FE0"/>
    <w:rsid w:val="00115085"/>
    <w:rsid w:val="001166C0"/>
    <w:rsid w:val="00116F94"/>
    <w:rsid w:val="00117BEB"/>
    <w:rsid w:val="0012038E"/>
    <w:rsid w:val="0012091E"/>
    <w:rsid w:val="00121382"/>
    <w:rsid w:val="00122B58"/>
    <w:rsid w:val="001249D6"/>
    <w:rsid w:val="00130BB5"/>
    <w:rsid w:val="00130FAC"/>
    <w:rsid w:val="001310BE"/>
    <w:rsid w:val="00131985"/>
    <w:rsid w:val="001320B5"/>
    <w:rsid w:val="00133675"/>
    <w:rsid w:val="0013605D"/>
    <w:rsid w:val="0013774F"/>
    <w:rsid w:val="001379CB"/>
    <w:rsid w:val="001412F7"/>
    <w:rsid w:val="00141525"/>
    <w:rsid w:val="00141C49"/>
    <w:rsid w:val="00142696"/>
    <w:rsid w:val="00142F64"/>
    <w:rsid w:val="0014504F"/>
    <w:rsid w:val="00145BFB"/>
    <w:rsid w:val="00146C04"/>
    <w:rsid w:val="0014763D"/>
    <w:rsid w:val="00150C89"/>
    <w:rsid w:val="00151E9E"/>
    <w:rsid w:val="001521CE"/>
    <w:rsid w:val="001551A7"/>
    <w:rsid w:val="00155CAC"/>
    <w:rsid w:val="00155F61"/>
    <w:rsid w:val="001568BF"/>
    <w:rsid w:val="0016032F"/>
    <w:rsid w:val="001616B3"/>
    <w:rsid w:val="00162D7B"/>
    <w:rsid w:val="00164841"/>
    <w:rsid w:val="001650E5"/>
    <w:rsid w:val="001676DE"/>
    <w:rsid w:val="00167D9D"/>
    <w:rsid w:val="00170BD1"/>
    <w:rsid w:val="001742E7"/>
    <w:rsid w:val="001743B8"/>
    <w:rsid w:val="00175655"/>
    <w:rsid w:val="00177A33"/>
    <w:rsid w:val="00181181"/>
    <w:rsid w:val="00182475"/>
    <w:rsid w:val="00182771"/>
    <w:rsid w:val="001838F2"/>
    <w:rsid w:val="00184755"/>
    <w:rsid w:val="00185319"/>
    <w:rsid w:val="001854EC"/>
    <w:rsid w:val="001879F6"/>
    <w:rsid w:val="00187C50"/>
    <w:rsid w:val="00187D9D"/>
    <w:rsid w:val="0019274A"/>
    <w:rsid w:val="00192C43"/>
    <w:rsid w:val="00192EA0"/>
    <w:rsid w:val="00195DF9"/>
    <w:rsid w:val="0019722E"/>
    <w:rsid w:val="00197682"/>
    <w:rsid w:val="001A042E"/>
    <w:rsid w:val="001A2C5B"/>
    <w:rsid w:val="001A41F2"/>
    <w:rsid w:val="001A4EEA"/>
    <w:rsid w:val="001A539A"/>
    <w:rsid w:val="001A6A15"/>
    <w:rsid w:val="001A7240"/>
    <w:rsid w:val="001A7EA3"/>
    <w:rsid w:val="001B062D"/>
    <w:rsid w:val="001B07DC"/>
    <w:rsid w:val="001B0A57"/>
    <w:rsid w:val="001B33C3"/>
    <w:rsid w:val="001B3827"/>
    <w:rsid w:val="001B3BD3"/>
    <w:rsid w:val="001B3F62"/>
    <w:rsid w:val="001B3FF1"/>
    <w:rsid w:val="001B5350"/>
    <w:rsid w:val="001B737F"/>
    <w:rsid w:val="001C0148"/>
    <w:rsid w:val="001C05F4"/>
    <w:rsid w:val="001C062A"/>
    <w:rsid w:val="001C4323"/>
    <w:rsid w:val="001C757E"/>
    <w:rsid w:val="001C76BE"/>
    <w:rsid w:val="001D1282"/>
    <w:rsid w:val="001D28F3"/>
    <w:rsid w:val="001D3124"/>
    <w:rsid w:val="001D370D"/>
    <w:rsid w:val="001D3B88"/>
    <w:rsid w:val="001D51A9"/>
    <w:rsid w:val="001D52E6"/>
    <w:rsid w:val="001D57E8"/>
    <w:rsid w:val="001D5A7B"/>
    <w:rsid w:val="001D788F"/>
    <w:rsid w:val="001E01E7"/>
    <w:rsid w:val="001E3653"/>
    <w:rsid w:val="001E40CA"/>
    <w:rsid w:val="001F2134"/>
    <w:rsid w:val="001F3395"/>
    <w:rsid w:val="001F4A80"/>
    <w:rsid w:val="001F4C19"/>
    <w:rsid w:val="001F6085"/>
    <w:rsid w:val="001F79A0"/>
    <w:rsid w:val="0020014F"/>
    <w:rsid w:val="002018CF"/>
    <w:rsid w:val="002026BF"/>
    <w:rsid w:val="0020390F"/>
    <w:rsid w:val="002043E4"/>
    <w:rsid w:val="00206568"/>
    <w:rsid w:val="00207079"/>
    <w:rsid w:val="00212A26"/>
    <w:rsid w:val="00212A8C"/>
    <w:rsid w:val="002133AD"/>
    <w:rsid w:val="00213A70"/>
    <w:rsid w:val="0021422B"/>
    <w:rsid w:val="00214FE5"/>
    <w:rsid w:val="00215514"/>
    <w:rsid w:val="0021673E"/>
    <w:rsid w:val="00216E15"/>
    <w:rsid w:val="00221FF5"/>
    <w:rsid w:val="002221E7"/>
    <w:rsid w:val="00224CDC"/>
    <w:rsid w:val="00224E2D"/>
    <w:rsid w:val="00225BF9"/>
    <w:rsid w:val="00225C37"/>
    <w:rsid w:val="002260EF"/>
    <w:rsid w:val="0022631B"/>
    <w:rsid w:val="00227A6C"/>
    <w:rsid w:val="00227D6D"/>
    <w:rsid w:val="002312EF"/>
    <w:rsid w:val="00233BB2"/>
    <w:rsid w:val="0023408E"/>
    <w:rsid w:val="002353B3"/>
    <w:rsid w:val="00235AEC"/>
    <w:rsid w:val="00237E01"/>
    <w:rsid w:val="00240542"/>
    <w:rsid w:val="002447E8"/>
    <w:rsid w:val="00244815"/>
    <w:rsid w:val="0024556D"/>
    <w:rsid w:val="002456CF"/>
    <w:rsid w:val="00246DB5"/>
    <w:rsid w:val="002507F3"/>
    <w:rsid w:val="00250CFC"/>
    <w:rsid w:val="00250FA8"/>
    <w:rsid w:val="002517B8"/>
    <w:rsid w:val="002519F6"/>
    <w:rsid w:val="00253F06"/>
    <w:rsid w:val="00256314"/>
    <w:rsid w:val="00256CC5"/>
    <w:rsid w:val="002577FD"/>
    <w:rsid w:val="00257B41"/>
    <w:rsid w:val="0026225F"/>
    <w:rsid w:val="002625E5"/>
    <w:rsid w:val="00263F89"/>
    <w:rsid w:val="0026460F"/>
    <w:rsid w:val="00264926"/>
    <w:rsid w:val="00264D20"/>
    <w:rsid w:val="00266A0F"/>
    <w:rsid w:val="00267127"/>
    <w:rsid w:val="002679BD"/>
    <w:rsid w:val="00267FD3"/>
    <w:rsid w:val="00270E4F"/>
    <w:rsid w:val="00271C45"/>
    <w:rsid w:val="00272ECB"/>
    <w:rsid w:val="00274028"/>
    <w:rsid w:val="0027416F"/>
    <w:rsid w:val="002744F1"/>
    <w:rsid w:val="00276166"/>
    <w:rsid w:val="00276AFB"/>
    <w:rsid w:val="00276D24"/>
    <w:rsid w:val="00277434"/>
    <w:rsid w:val="00277A6B"/>
    <w:rsid w:val="00280E3E"/>
    <w:rsid w:val="0028151A"/>
    <w:rsid w:val="00284AE7"/>
    <w:rsid w:val="00284BA4"/>
    <w:rsid w:val="00284FD9"/>
    <w:rsid w:val="00287E78"/>
    <w:rsid w:val="002923B4"/>
    <w:rsid w:val="00293F90"/>
    <w:rsid w:val="00294483"/>
    <w:rsid w:val="00294527"/>
    <w:rsid w:val="0029510A"/>
    <w:rsid w:val="002968D9"/>
    <w:rsid w:val="00297B7B"/>
    <w:rsid w:val="00297C5E"/>
    <w:rsid w:val="002A10DA"/>
    <w:rsid w:val="002A1C94"/>
    <w:rsid w:val="002A3E5F"/>
    <w:rsid w:val="002A52AE"/>
    <w:rsid w:val="002A59BF"/>
    <w:rsid w:val="002A6D14"/>
    <w:rsid w:val="002A785C"/>
    <w:rsid w:val="002B072F"/>
    <w:rsid w:val="002B0E2B"/>
    <w:rsid w:val="002B1687"/>
    <w:rsid w:val="002B24B4"/>
    <w:rsid w:val="002B388B"/>
    <w:rsid w:val="002B4C8E"/>
    <w:rsid w:val="002B553A"/>
    <w:rsid w:val="002C12FE"/>
    <w:rsid w:val="002C16F9"/>
    <w:rsid w:val="002C1ED0"/>
    <w:rsid w:val="002C26DC"/>
    <w:rsid w:val="002C2E80"/>
    <w:rsid w:val="002C6124"/>
    <w:rsid w:val="002D1C15"/>
    <w:rsid w:val="002D1E5A"/>
    <w:rsid w:val="002D2218"/>
    <w:rsid w:val="002D2740"/>
    <w:rsid w:val="002D3981"/>
    <w:rsid w:val="002D4219"/>
    <w:rsid w:val="002D4339"/>
    <w:rsid w:val="002D481A"/>
    <w:rsid w:val="002D549C"/>
    <w:rsid w:val="002D54F1"/>
    <w:rsid w:val="002E2FF9"/>
    <w:rsid w:val="002E37A2"/>
    <w:rsid w:val="002E4B81"/>
    <w:rsid w:val="002E566B"/>
    <w:rsid w:val="002E62A6"/>
    <w:rsid w:val="002E70C4"/>
    <w:rsid w:val="002F0908"/>
    <w:rsid w:val="002F0D9C"/>
    <w:rsid w:val="002F1E0E"/>
    <w:rsid w:val="002F2714"/>
    <w:rsid w:val="002F30CC"/>
    <w:rsid w:val="002F5EBD"/>
    <w:rsid w:val="002F6C7C"/>
    <w:rsid w:val="002F70CE"/>
    <w:rsid w:val="00300227"/>
    <w:rsid w:val="00301E54"/>
    <w:rsid w:val="003026EC"/>
    <w:rsid w:val="00303476"/>
    <w:rsid w:val="00304C74"/>
    <w:rsid w:val="003053F2"/>
    <w:rsid w:val="003061E5"/>
    <w:rsid w:val="00306746"/>
    <w:rsid w:val="003071E1"/>
    <w:rsid w:val="00307A35"/>
    <w:rsid w:val="003117AA"/>
    <w:rsid w:val="00311BDC"/>
    <w:rsid w:val="003147C4"/>
    <w:rsid w:val="00314BAC"/>
    <w:rsid w:val="00315609"/>
    <w:rsid w:val="003160FF"/>
    <w:rsid w:val="00316FD8"/>
    <w:rsid w:val="003205B5"/>
    <w:rsid w:val="00320AAC"/>
    <w:rsid w:val="00321632"/>
    <w:rsid w:val="00326ED5"/>
    <w:rsid w:val="00327645"/>
    <w:rsid w:val="00327E14"/>
    <w:rsid w:val="00330559"/>
    <w:rsid w:val="00330742"/>
    <w:rsid w:val="00330EED"/>
    <w:rsid w:val="0033126B"/>
    <w:rsid w:val="003312F5"/>
    <w:rsid w:val="00332171"/>
    <w:rsid w:val="003323D6"/>
    <w:rsid w:val="0033281E"/>
    <w:rsid w:val="003335C7"/>
    <w:rsid w:val="00333CFC"/>
    <w:rsid w:val="00334866"/>
    <w:rsid w:val="00335E64"/>
    <w:rsid w:val="00337320"/>
    <w:rsid w:val="00341EDB"/>
    <w:rsid w:val="003420AC"/>
    <w:rsid w:val="00342368"/>
    <w:rsid w:val="003424B1"/>
    <w:rsid w:val="00343347"/>
    <w:rsid w:val="0034353A"/>
    <w:rsid w:val="00344106"/>
    <w:rsid w:val="00345057"/>
    <w:rsid w:val="003461BB"/>
    <w:rsid w:val="00347055"/>
    <w:rsid w:val="0035027B"/>
    <w:rsid w:val="003522FC"/>
    <w:rsid w:val="00352C6E"/>
    <w:rsid w:val="00353E89"/>
    <w:rsid w:val="00353EB2"/>
    <w:rsid w:val="00355760"/>
    <w:rsid w:val="00356E0C"/>
    <w:rsid w:val="003607CE"/>
    <w:rsid w:val="0036117B"/>
    <w:rsid w:val="003620CA"/>
    <w:rsid w:val="00363CC4"/>
    <w:rsid w:val="00363D76"/>
    <w:rsid w:val="003665C0"/>
    <w:rsid w:val="00366D64"/>
    <w:rsid w:val="00366E9F"/>
    <w:rsid w:val="00367829"/>
    <w:rsid w:val="0037079C"/>
    <w:rsid w:val="00370CBA"/>
    <w:rsid w:val="00372DDA"/>
    <w:rsid w:val="003734BC"/>
    <w:rsid w:val="00373580"/>
    <w:rsid w:val="00374B3F"/>
    <w:rsid w:val="00374BED"/>
    <w:rsid w:val="003775E6"/>
    <w:rsid w:val="00380177"/>
    <w:rsid w:val="00380409"/>
    <w:rsid w:val="00381115"/>
    <w:rsid w:val="00382DA3"/>
    <w:rsid w:val="0038334F"/>
    <w:rsid w:val="003838C2"/>
    <w:rsid w:val="00383ABD"/>
    <w:rsid w:val="00385958"/>
    <w:rsid w:val="00390378"/>
    <w:rsid w:val="003916A3"/>
    <w:rsid w:val="003916AB"/>
    <w:rsid w:val="0039375E"/>
    <w:rsid w:val="00393A9C"/>
    <w:rsid w:val="00393B79"/>
    <w:rsid w:val="003942EF"/>
    <w:rsid w:val="00394347"/>
    <w:rsid w:val="00394528"/>
    <w:rsid w:val="003950D1"/>
    <w:rsid w:val="00396E7B"/>
    <w:rsid w:val="00397BC2"/>
    <w:rsid w:val="003A0069"/>
    <w:rsid w:val="003A1D7F"/>
    <w:rsid w:val="003A35A0"/>
    <w:rsid w:val="003A481D"/>
    <w:rsid w:val="003A6DDC"/>
    <w:rsid w:val="003A7346"/>
    <w:rsid w:val="003B0CF0"/>
    <w:rsid w:val="003B13DC"/>
    <w:rsid w:val="003B2198"/>
    <w:rsid w:val="003B2CDA"/>
    <w:rsid w:val="003B325D"/>
    <w:rsid w:val="003B331E"/>
    <w:rsid w:val="003B3445"/>
    <w:rsid w:val="003B46C0"/>
    <w:rsid w:val="003B5887"/>
    <w:rsid w:val="003B5D89"/>
    <w:rsid w:val="003B6C63"/>
    <w:rsid w:val="003B71CA"/>
    <w:rsid w:val="003B7234"/>
    <w:rsid w:val="003C02B1"/>
    <w:rsid w:val="003C0581"/>
    <w:rsid w:val="003C1220"/>
    <w:rsid w:val="003C154C"/>
    <w:rsid w:val="003C1A42"/>
    <w:rsid w:val="003C1B78"/>
    <w:rsid w:val="003C2458"/>
    <w:rsid w:val="003D0002"/>
    <w:rsid w:val="003D0A35"/>
    <w:rsid w:val="003D1582"/>
    <w:rsid w:val="003D19A8"/>
    <w:rsid w:val="003D34FD"/>
    <w:rsid w:val="003D3EF5"/>
    <w:rsid w:val="003D4B5A"/>
    <w:rsid w:val="003D62E2"/>
    <w:rsid w:val="003D73AB"/>
    <w:rsid w:val="003D7E4C"/>
    <w:rsid w:val="003D7FE6"/>
    <w:rsid w:val="003E0D78"/>
    <w:rsid w:val="003E0DE2"/>
    <w:rsid w:val="003E41C2"/>
    <w:rsid w:val="003E6DCF"/>
    <w:rsid w:val="003E6E41"/>
    <w:rsid w:val="003E7025"/>
    <w:rsid w:val="003E7CD6"/>
    <w:rsid w:val="003F023D"/>
    <w:rsid w:val="003F04FC"/>
    <w:rsid w:val="003F1511"/>
    <w:rsid w:val="003F205C"/>
    <w:rsid w:val="003F2241"/>
    <w:rsid w:val="003F2AB0"/>
    <w:rsid w:val="003F311A"/>
    <w:rsid w:val="003F3F49"/>
    <w:rsid w:val="003F437A"/>
    <w:rsid w:val="003F5031"/>
    <w:rsid w:val="003F565B"/>
    <w:rsid w:val="003F6740"/>
    <w:rsid w:val="00400C55"/>
    <w:rsid w:val="00404A67"/>
    <w:rsid w:val="004054D2"/>
    <w:rsid w:val="00405DD8"/>
    <w:rsid w:val="004061DA"/>
    <w:rsid w:val="0040700C"/>
    <w:rsid w:val="00407197"/>
    <w:rsid w:val="00407AA3"/>
    <w:rsid w:val="0041006B"/>
    <w:rsid w:val="004104DE"/>
    <w:rsid w:val="00411B8E"/>
    <w:rsid w:val="00411EC3"/>
    <w:rsid w:val="004130C2"/>
    <w:rsid w:val="00413D74"/>
    <w:rsid w:val="004207B0"/>
    <w:rsid w:val="004218FC"/>
    <w:rsid w:val="00421E22"/>
    <w:rsid w:val="004220DC"/>
    <w:rsid w:val="00422F09"/>
    <w:rsid w:val="00423BE6"/>
    <w:rsid w:val="00425032"/>
    <w:rsid w:val="00426AB9"/>
    <w:rsid w:val="00426E33"/>
    <w:rsid w:val="004302DE"/>
    <w:rsid w:val="00432113"/>
    <w:rsid w:val="00432B90"/>
    <w:rsid w:val="004330FB"/>
    <w:rsid w:val="00433BC6"/>
    <w:rsid w:val="004357D4"/>
    <w:rsid w:val="004371D4"/>
    <w:rsid w:val="00437645"/>
    <w:rsid w:val="004402A6"/>
    <w:rsid w:val="004413C5"/>
    <w:rsid w:val="00441993"/>
    <w:rsid w:val="004421BA"/>
    <w:rsid w:val="00442C97"/>
    <w:rsid w:val="00444372"/>
    <w:rsid w:val="00444F48"/>
    <w:rsid w:val="004450E0"/>
    <w:rsid w:val="00446FE7"/>
    <w:rsid w:val="004514D3"/>
    <w:rsid w:val="00453721"/>
    <w:rsid w:val="0045596A"/>
    <w:rsid w:val="00456DD2"/>
    <w:rsid w:val="00460CB7"/>
    <w:rsid w:val="004634A2"/>
    <w:rsid w:val="004634C7"/>
    <w:rsid w:val="004645AA"/>
    <w:rsid w:val="004647D3"/>
    <w:rsid w:val="00465955"/>
    <w:rsid w:val="00470159"/>
    <w:rsid w:val="00472EE0"/>
    <w:rsid w:val="0047319A"/>
    <w:rsid w:val="00473647"/>
    <w:rsid w:val="0047390E"/>
    <w:rsid w:val="00473CF1"/>
    <w:rsid w:val="00474377"/>
    <w:rsid w:val="00476004"/>
    <w:rsid w:val="0048183A"/>
    <w:rsid w:val="00481AB4"/>
    <w:rsid w:val="00482343"/>
    <w:rsid w:val="004830E2"/>
    <w:rsid w:val="00483948"/>
    <w:rsid w:val="00483979"/>
    <w:rsid w:val="0048492A"/>
    <w:rsid w:val="00487171"/>
    <w:rsid w:val="00487A8E"/>
    <w:rsid w:val="00491D4E"/>
    <w:rsid w:val="00493E68"/>
    <w:rsid w:val="00494411"/>
    <w:rsid w:val="00495A9B"/>
    <w:rsid w:val="004960C7"/>
    <w:rsid w:val="0049772C"/>
    <w:rsid w:val="00497813"/>
    <w:rsid w:val="00497F11"/>
    <w:rsid w:val="004A05A0"/>
    <w:rsid w:val="004A0CB4"/>
    <w:rsid w:val="004A1929"/>
    <w:rsid w:val="004A215D"/>
    <w:rsid w:val="004A2176"/>
    <w:rsid w:val="004A2810"/>
    <w:rsid w:val="004A2FC5"/>
    <w:rsid w:val="004A300F"/>
    <w:rsid w:val="004A33B7"/>
    <w:rsid w:val="004A59F0"/>
    <w:rsid w:val="004A606D"/>
    <w:rsid w:val="004A7DEF"/>
    <w:rsid w:val="004B0771"/>
    <w:rsid w:val="004B0A0C"/>
    <w:rsid w:val="004B12E9"/>
    <w:rsid w:val="004B1AD2"/>
    <w:rsid w:val="004B2A34"/>
    <w:rsid w:val="004B2ABD"/>
    <w:rsid w:val="004B394E"/>
    <w:rsid w:val="004B3A21"/>
    <w:rsid w:val="004B4256"/>
    <w:rsid w:val="004B4FE6"/>
    <w:rsid w:val="004B525E"/>
    <w:rsid w:val="004B5AEA"/>
    <w:rsid w:val="004B7E15"/>
    <w:rsid w:val="004C020D"/>
    <w:rsid w:val="004C1256"/>
    <w:rsid w:val="004C1F51"/>
    <w:rsid w:val="004C3028"/>
    <w:rsid w:val="004C3A7E"/>
    <w:rsid w:val="004C3B8F"/>
    <w:rsid w:val="004C5A4D"/>
    <w:rsid w:val="004C70F3"/>
    <w:rsid w:val="004C79DB"/>
    <w:rsid w:val="004D4E0A"/>
    <w:rsid w:val="004D6279"/>
    <w:rsid w:val="004D64D8"/>
    <w:rsid w:val="004D6E01"/>
    <w:rsid w:val="004E0AAD"/>
    <w:rsid w:val="004E0C13"/>
    <w:rsid w:val="004E35A8"/>
    <w:rsid w:val="004E40E8"/>
    <w:rsid w:val="004E458A"/>
    <w:rsid w:val="004E4898"/>
    <w:rsid w:val="004E55EE"/>
    <w:rsid w:val="004F12AD"/>
    <w:rsid w:val="004F2C8E"/>
    <w:rsid w:val="004F3029"/>
    <w:rsid w:val="004F3A7A"/>
    <w:rsid w:val="004F45FA"/>
    <w:rsid w:val="004F7973"/>
    <w:rsid w:val="004F7B54"/>
    <w:rsid w:val="00500D45"/>
    <w:rsid w:val="005012CD"/>
    <w:rsid w:val="0050173C"/>
    <w:rsid w:val="00502451"/>
    <w:rsid w:val="00502453"/>
    <w:rsid w:val="00502706"/>
    <w:rsid w:val="0050334A"/>
    <w:rsid w:val="00504246"/>
    <w:rsid w:val="00506198"/>
    <w:rsid w:val="00507219"/>
    <w:rsid w:val="00507962"/>
    <w:rsid w:val="00507B59"/>
    <w:rsid w:val="00510273"/>
    <w:rsid w:val="005110A4"/>
    <w:rsid w:val="005111BC"/>
    <w:rsid w:val="00512787"/>
    <w:rsid w:val="00512ECD"/>
    <w:rsid w:val="00513178"/>
    <w:rsid w:val="005145AF"/>
    <w:rsid w:val="0051477F"/>
    <w:rsid w:val="00514D8A"/>
    <w:rsid w:val="00517AE9"/>
    <w:rsid w:val="0052177F"/>
    <w:rsid w:val="005217C8"/>
    <w:rsid w:val="0052268A"/>
    <w:rsid w:val="00527710"/>
    <w:rsid w:val="00530902"/>
    <w:rsid w:val="00530D71"/>
    <w:rsid w:val="00531FC1"/>
    <w:rsid w:val="00535308"/>
    <w:rsid w:val="00536745"/>
    <w:rsid w:val="0053780B"/>
    <w:rsid w:val="005419E2"/>
    <w:rsid w:val="005427E2"/>
    <w:rsid w:val="00545D70"/>
    <w:rsid w:val="005460E2"/>
    <w:rsid w:val="0055027C"/>
    <w:rsid w:val="00552CA2"/>
    <w:rsid w:val="00552EEB"/>
    <w:rsid w:val="005547EA"/>
    <w:rsid w:val="00554E32"/>
    <w:rsid w:val="005570F7"/>
    <w:rsid w:val="005571DA"/>
    <w:rsid w:val="005615B8"/>
    <w:rsid w:val="0056448E"/>
    <w:rsid w:val="005671EA"/>
    <w:rsid w:val="005675CB"/>
    <w:rsid w:val="00571098"/>
    <w:rsid w:val="00571148"/>
    <w:rsid w:val="0057127B"/>
    <w:rsid w:val="00571F71"/>
    <w:rsid w:val="00573B22"/>
    <w:rsid w:val="005741D4"/>
    <w:rsid w:val="0057654E"/>
    <w:rsid w:val="00581A4D"/>
    <w:rsid w:val="005823E6"/>
    <w:rsid w:val="0058470A"/>
    <w:rsid w:val="00585118"/>
    <w:rsid w:val="0058663C"/>
    <w:rsid w:val="00586FDD"/>
    <w:rsid w:val="0059307D"/>
    <w:rsid w:val="00595925"/>
    <w:rsid w:val="005A091C"/>
    <w:rsid w:val="005A0D61"/>
    <w:rsid w:val="005A0E86"/>
    <w:rsid w:val="005A23A0"/>
    <w:rsid w:val="005A476E"/>
    <w:rsid w:val="005A55BE"/>
    <w:rsid w:val="005A5ADE"/>
    <w:rsid w:val="005A6624"/>
    <w:rsid w:val="005A68E7"/>
    <w:rsid w:val="005A69C3"/>
    <w:rsid w:val="005A728F"/>
    <w:rsid w:val="005A75BE"/>
    <w:rsid w:val="005A780A"/>
    <w:rsid w:val="005A7CBF"/>
    <w:rsid w:val="005B02A2"/>
    <w:rsid w:val="005B2305"/>
    <w:rsid w:val="005B39F0"/>
    <w:rsid w:val="005B3D7F"/>
    <w:rsid w:val="005B4E9D"/>
    <w:rsid w:val="005B6076"/>
    <w:rsid w:val="005B6745"/>
    <w:rsid w:val="005B728F"/>
    <w:rsid w:val="005B7FF0"/>
    <w:rsid w:val="005C1849"/>
    <w:rsid w:val="005C5DB1"/>
    <w:rsid w:val="005C6B51"/>
    <w:rsid w:val="005C733D"/>
    <w:rsid w:val="005C7D7B"/>
    <w:rsid w:val="005D0AC8"/>
    <w:rsid w:val="005D36B2"/>
    <w:rsid w:val="005D3D6E"/>
    <w:rsid w:val="005D5254"/>
    <w:rsid w:val="005D5F0F"/>
    <w:rsid w:val="005D67B1"/>
    <w:rsid w:val="005D7A74"/>
    <w:rsid w:val="005E0427"/>
    <w:rsid w:val="005E10B9"/>
    <w:rsid w:val="005E1ADC"/>
    <w:rsid w:val="005E3A96"/>
    <w:rsid w:val="005E4538"/>
    <w:rsid w:val="005E5058"/>
    <w:rsid w:val="005E5563"/>
    <w:rsid w:val="005E733F"/>
    <w:rsid w:val="005F02B1"/>
    <w:rsid w:val="005F2BC6"/>
    <w:rsid w:val="005F31FB"/>
    <w:rsid w:val="005F3DF0"/>
    <w:rsid w:val="005F4294"/>
    <w:rsid w:val="005F53DD"/>
    <w:rsid w:val="005F6108"/>
    <w:rsid w:val="005F646F"/>
    <w:rsid w:val="005F7909"/>
    <w:rsid w:val="006005DE"/>
    <w:rsid w:val="00600F5D"/>
    <w:rsid w:val="00602FA4"/>
    <w:rsid w:val="006034FD"/>
    <w:rsid w:val="0060379A"/>
    <w:rsid w:val="00604D2A"/>
    <w:rsid w:val="00605589"/>
    <w:rsid w:val="006060C4"/>
    <w:rsid w:val="00606C6D"/>
    <w:rsid w:val="00611BD9"/>
    <w:rsid w:val="00612967"/>
    <w:rsid w:val="006136C6"/>
    <w:rsid w:val="00614433"/>
    <w:rsid w:val="00614887"/>
    <w:rsid w:val="00614946"/>
    <w:rsid w:val="0061576C"/>
    <w:rsid w:val="00615C68"/>
    <w:rsid w:val="00620221"/>
    <w:rsid w:val="006210E9"/>
    <w:rsid w:val="00621990"/>
    <w:rsid w:val="00622271"/>
    <w:rsid w:val="00625FA3"/>
    <w:rsid w:val="00627E55"/>
    <w:rsid w:val="0063773E"/>
    <w:rsid w:val="00641201"/>
    <w:rsid w:val="0064126B"/>
    <w:rsid w:val="0064190D"/>
    <w:rsid w:val="0064246D"/>
    <w:rsid w:val="00642526"/>
    <w:rsid w:val="00645C28"/>
    <w:rsid w:val="00645E9E"/>
    <w:rsid w:val="006466B7"/>
    <w:rsid w:val="00646864"/>
    <w:rsid w:val="00650DD2"/>
    <w:rsid w:val="0065156A"/>
    <w:rsid w:val="00651843"/>
    <w:rsid w:val="00651B5D"/>
    <w:rsid w:val="0065317B"/>
    <w:rsid w:val="00653316"/>
    <w:rsid w:val="00653412"/>
    <w:rsid w:val="00655DA4"/>
    <w:rsid w:val="00656CA0"/>
    <w:rsid w:val="00656E12"/>
    <w:rsid w:val="006579FA"/>
    <w:rsid w:val="0066016C"/>
    <w:rsid w:val="00660EDF"/>
    <w:rsid w:val="00660FCF"/>
    <w:rsid w:val="006613EF"/>
    <w:rsid w:val="0066188F"/>
    <w:rsid w:val="00661BFB"/>
    <w:rsid w:val="006641BA"/>
    <w:rsid w:val="00664236"/>
    <w:rsid w:val="00666548"/>
    <w:rsid w:val="006668C7"/>
    <w:rsid w:val="006670E0"/>
    <w:rsid w:val="006700B6"/>
    <w:rsid w:val="006721A8"/>
    <w:rsid w:val="00673BF7"/>
    <w:rsid w:val="00675AEF"/>
    <w:rsid w:val="006777F6"/>
    <w:rsid w:val="00680575"/>
    <w:rsid w:val="006809D2"/>
    <w:rsid w:val="00680F1E"/>
    <w:rsid w:val="00681159"/>
    <w:rsid w:val="006827EC"/>
    <w:rsid w:val="00682F68"/>
    <w:rsid w:val="006845E4"/>
    <w:rsid w:val="00684A41"/>
    <w:rsid w:val="00684A7C"/>
    <w:rsid w:val="00685FE7"/>
    <w:rsid w:val="00691288"/>
    <w:rsid w:val="006913B8"/>
    <w:rsid w:val="0069209B"/>
    <w:rsid w:val="00692272"/>
    <w:rsid w:val="0069364C"/>
    <w:rsid w:val="006A130E"/>
    <w:rsid w:val="006A1F0F"/>
    <w:rsid w:val="006A4900"/>
    <w:rsid w:val="006A4F7D"/>
    <w:rsid w:val="006A69BF"/>
    <w:rsid w:val="006B0012"/>
    <w:rsid w:val="006B021F"/>
    <w:rsid w:val="006B1750"/>
    <w:rsid w:val="006B17ED"/>
    <w:rsid w:val="006B2DC2"/>
    <w:rsid w:val="006B3D79"/>
    <w:rsid w:val="006B463A"/>
    <w:rsid w:val="006B476F"/>
    <w:rsid w:val="006B5088"/>
    <w:rsid w:val="006B6270"/>
    <w:rsid w:val="006B7CE3"/>
    <w:rsid w:val="006C504C"/>
    <w:rsid w:val="006C64EC"/>
    <w:rsid w:val="006D4D74"/>
    <w:rsid w:val="006D52A3"/>
    <w:rsid w:val="006D55B9"/>
    <w:rsid w:val="006D61A8"/>
    <w:rsid w:val="006E3E1A"/>
    <w:rsid w:val="006E4D51"/>
    <w:rsid w:val="006E5AA6"/>
    <w:rsid w:val="006E6104"/>
    <w:rsid w:val="006F02D5"/>
    <w:rsid w:val="006F09EE"/>
    <w:rsid w:val="006F1EFF"/>
    <w:rsid w:val="006F2B3E"/>
    <w:rsid w:val="006F349E"/>
    <w:rsid w:val="006F3836"/>
    <w:rsid w:val="006F3D1D"/>
    <w:rsid w:val="006F3E47"/>
    <w:rsid w:val="006F45E0"/>
    <w:rsid w:val="006F4DB7"/>
    <w:rsid w:val="006F5200"/>
    <w:rsid w:val="00700B26"/>
    <w:rsid w:val="00701171"/>
    <w:rsid w:val="00702C26"/>
    <w:rsid w:val="007075C3"/>
    <w:rsid w:val="007078D9"/>
    <w:rsid w:val="00710BFF"/>
    <w:rsid w:val="00711DF4"/>
    <w:rsid w:val="007126E0"/>
    <w:rsid w:val="00714072"/>
    <w:rsid w:val="007142D7"/>
    <w:rsid w:val="00714C77"/>
    <w:rsid w:val="00715EDE"/>
    <w:rsid w:val="00716A74"/>
    <w:rsid w:val="00720BC3"/>
    <w:rsid w:val="00721580"/>
    <w:rsid w:val="00722245"/>
    <w:rsid w:val="00723B97"/>
    <w:rsid w:val="007248F6"/>
    <w:rsid w:val="00725559"/>
    <w:rsid w:val="00725890"/>
    <w:rsid w:val="00725F92"/>
    <w:rsid w:val="00726711"/>
    <w:rsid w:val="007268F5"/>
    <w:rsid w:val="00727863"/>
    <w:rsid w:val="0073299D"/>
    <w:rsid w:val="00732BB8"/>
    <w:rsid w:val="00733895"/>
    <w:rsid w:val="00734938"/>
    <w:rsid w:val="0073549E"/>
    <w:rsid w:val="007363EA"/>
    <w:rsid w:val="0073719E"/>
    <w:rsid w:val="0074127E"/>
    <w:rsid w:val="00742B39"/>
    <w:rsid w:val="00742F01"/>
    <w:rsid w:val="0074496C"/>
    <w:rsid w:val="00745780"/>
    <w:rsid w:val="00745968"/>
    <w:rsid w:val="00746E46"/>
    <w:rsid w:val="007505A9"/>
    <w:rsid w:val="00750D5C"/>
    <w:rsid w:val="00752031"/>
    <w:rsid w:val="007522E3"/>
    <w:rsid w:val="007525D6"/>
    <w:rsid w:val="00753371"/>
    <w:rsid w:val="00753C2A"/>
    <w:rsid w:val="00754E9C"/>
    <w:rsid w:val="0075548C"/>
    <w:rsid w:val="0075561F"/>
    <w:rsid w:val="00755F95"/>
    <w:rsid w:val="00756064"/>
    <w:rsid w:val="007575E0"/>
    <w:rsid w:val="00760CCC"/>
    <w:rsid w:val="0076347F"/>
    <w:rsid w:val="007656F2"/>
    <w:rsid w:val="00766B07"/>
    <w:rsid w:val="00766B54"/>
    <w:rsid w:val="0076762F"/>
    <w:rsid w:val="00771449"/>
    <w:rsid w:val="0077209A"/>
    <w:rsid w:val="00772786"/>
    <w:rsid w:val="00773D1B"/>
    <w:rsid w:val="00776D00"/>
    <w:rsid w:val="0077715E"/>
    <w:rsid w:val="007800A5"/>
    <w:rsid w:val="00780943"/>
    <w:rsid w:val="007829A2"/>
    <w:rsid w:val="007834CD"/>
    <w:rsid w:val="007836BA"/>
    <w:rsid w:val="00783C08"/>
    <w:rsid w:val="00783FCB"/>
    <w:rsid w:val="00785954"/>
    <w:rsid w:val="00785A54"/>
    <w:rsid w:val="00785D82"/>
    <w:rsid w:val="0078727B"/>
    <w:rsid w:val="007874C4"/>
    <w:rsid w:val="007877D5"/>
    <w:rsid w:val="007918D3"/>
    <w:rsid w:val="00791A5A"/>
    <w:rsid w:val="0079203A"/>
    <w:rsid w:val="007938D9"/>
    <w:rsid w:val="00793D1B"/>
    <w:rsid w:val="00793D3E"/>
    <w:rsid w:val="00795C49"/>
    <w:rsid w:val="00795CB8"/>
    <w:rsid w:val="00796CE9"/>
    <w:rsid w:val="007A0308"/>
    <w:rsid w:val="007A1860"/>
    <w:rsid w:val="007A2F99"/>
    <w:rsid w:val="007A434A"/>
    <w:rsid w:val="007A6551"/>
    <w:rsid w:val="007A6AEC"/>
    <w:rsid w:val="007A6E59"/>
    <w:rsid w:val="007A717B"/>
    <w:rsid w:val="007A742E"/>
    <w:rsid w:val="007B0670"/>
    <w:rsid w:val="007B44A5"/>
    <w:rsid w:val="007B75BC"/>
    <w:rsid w:val="007C0B5A"/>
    <w:rsid w:val="007C0C9F"/>
    <w:rsid w:val="007C1F01"/>
    <w:rsid w:val="007C2017"/>
    <w:rsid w:val="007C2FFA"/>
    <w:rsid w:val="007C3B4E"/>
    <w:rsid w:val="007C5D42"/>
    <w:rsid w:val="007C5DA7"/>
    <w:rsid w:val="007C63EF"/>
    <w:rsid w:val="007C78C6"/>
    <w:rsid w:val="007C7A35"/>
    <w:rsid w:val="007D0185"/>
    <w:rsid w:val="007D03EE"/>
    <w:rsid w:val="007D08B9"/>
    <w:rsid w:val="007D1178"/>
    <w:rsid w:val="007D21E5"/>
    <w:rsid w:val="007D23E6"/>
    <w:rsid w:val="007D3913"/>
    <w:rsid w:val="007D3E93"/>
    <w:rsid w:val="007D51FE"/>
    <w:rsid w:val="007D70A1"/>
    <w:rsid w:val="007D7922"/>
    <w:rsid w:val="007E02A4"/>
    <w:rsid w:val="007E1BF8"/>
    <w:rsid w:val="007E34A0"/>
    <w:rsid w:val="007E4983"/>
    <w:rsid w:val="007E7466"/>
    <w:rsid w:val="007F03BF"/>
    <w:rsid w:val="007F1FB3"/>
    <w:rsid w:val="007F27C5"/>
    <w:rsid w:val="007F5F6A"/>
    <w:rsid w:val="007F720B"/>
    <w:rsid w:val="008024D9"/>
    <w:rsid w:val="00802699"/>
    <w:rsid w:val="00802A20"/>
    <w:rsid w:val="00803EC2"/>
    <w:rsid w:val="008115F3"/>
    <w:rsid w:val="008119B2"/>
    <w:rsid w:val="008124F9"/>
    <w:rsid w:val="008132E8"/>
    <w:rsid w:val="00813C14"/>
    <w:rsid w:val="00813C80"/>
    <w:rsid w:val="00814436"/>
    <w:rsid w:val="00815419"/>
    <w:rsid w:val="00815E2E"/>
    <w:rsid w:val="00816AB4"/>
    <w:rsid w:val="00817CCF"/>
    <w:rsid w:val="00823407"/>
    <w:rsid w:val="00824CD8"/>
    <w:rsid w:val="00824F82"/>
    <w:rsid w:val="00825426"/>
    <w:rsid w:val="0082684E"/>
    <w:rsid w:val="00827EE5"/>
    <w:rsid w:val="008317AD"/>
    <w:rsid w:val="008317DE"/>
    <w:rsid w:val="00833760"/>
    <w:rsid w:val="008353D2"/>
    <w:rsid w:val="00835E64"/>
    <w:rsid w:val="0084062A"/>
    <w:rsid w:val="008408A6"/>
    <w:rsid w:val="00841F5C"/>
    <w:rsid w:val="0084342A"/>
    <w:rsid w:val="00844D29"/>
    <w:rsid w:val="0084514A"/>
    <w:rsid w:val="00845D40"/>
    <w:rsid w:val="00846882"/>
    <w:rsid w:val="00847049"/>
    <w:rsid w:val="0085061B"/>
    <w:rsid w:val="00850E3D"/>
    <w:rsid w:val="008510B4"/>
    <w:rsid w:val="00852AFD"/>
    <w:rsid w:val="00854BB8"/>
    <w:rsid w:val="008566F6"/>
    <w:rsid w:val="00856A58"/>
    <w:rsid w:val="00857129"/>
    <w:rsid w:val="00857C2C"/>
    <w:rsid w:val="00857F2D"/>
    <w:rsid w:val="0086051D"/>
    <w:rsid w:val="00860EEF"/>
    <w:rsid w:val="00862045"/>
    <w:rsid w:val="008660B9"/>
    <w:rsid w:val="008663FA"/>
    <w:rsid w:val="00867AA5"/>
    <w:rsid w:val="00870FFC"/>
    <w:rsid w:val="00872587"/>
    <w:rsid w:val="00873AA2"/>
    <w:rsid w:val="00875078"/>
    <w:rsid w:val="008751A2"/>
    <w:rsid w:val="00875421"/>
    <w:rsid w:val="0087623E"/>
    <w:rsid w:val="008766E7"/>
    <w:rsid w:val="00877EDF"/>
    <w:rsid w:val="008802E8"/>
    <w:rsid w:val="00881DA6"/>
    <w:rsid w:val="00882F8A"/>
    <w:rsid w:val="00883C38"/>
    <w:rsid w:val="00884059"/>
    <w:rsid w:val="0088510C"/>
    <w:rsid w:val="00886C61"/>
    <w:rsid w:val="0089068A"/>
    <w:rsid w:val="00892992"/>
    <w:rsid w:val="008935ED"/>
    <w:rsid w:val="00894409"/>
    <w:rsid w:val="0089730B"/>
    <w:rsid w:val="008A12C5"/>
    <w:rsid w:val="008A2314"/>
    <w:rsid w:val="008A2949"/>
    <w:rsid w:val="008A4897"/>
    <w:rsid w:val="008A5614"/>
    <w:rsid w:val="008A7725"/>
    <w:rsid w:val="008A79B4"/>
    <w:rsid w:val="008B0184"/>
    <w:rsid w:val="008B0F4C"/>
    <w:rsid w:val="008B1645"/>
    <w:rsid w:val="008B1D55"/>
    <w:rsid w:val="008B2B15"/>
    <w:rsid w:val="008B394E"/>
    <w:rsid w:val="008B4394"/>
    <w:rsid w:val="008B4F57"/>
    <w:rsid w:val="008B5CAB"/>
    <w:rsid w:val="008B6338"/>
    <w:rsid w:val="008B709E"/>
    <w:rsid w:val="008C09AA"/>
    <w:rsid w:val="008C0E63"/>
    <w:rsid w:val="008C1DFB"/>
    <w:rsid w:val="008C4A99"/>
    <w:rsid w:val="008C5D02"/>
    <w:rsid w:val="008D0AD0"/>
    <w:rsid w:val="008D2649"/>
    <w:rsid w:val="008D3704"/>
    <w:rsid w:val="008D3A4F"/>
    <w:rsid w:val="008D7BA3"/>
    <w:rsid w:val="008E0598"/>
    <w:rsid w:val="008E16EB"/>
    <w:rsid w:val="008E215D"/>
    <w:rsid w:val="008E2504"/>
    <w:rsid w:val="008E2651"/>
    <w:rsid w:val="008E3910"/>
    <w:rsid w:val="008E3D67"/>
    <w:rsid w:val="008E45C3"/>
    <w:rsid w:val="008E4717"/>
    <w:rsid w:val="008E5C70"/>
    <w:rsid w:val="008E61A1"/>
    <w:rsid w:val="008E7028"/>
    <w:rsid w:val="008E70C2"/>
    <w:rsid w:val="008F04D1"/>
    <w:rsid w:val="008F1862"/>
    <w:rsid w:val="008F1D81"/>
    <w:rsid w:val="008F238E"/>
    <w:rsid w:val="008F5480"/>
    <w:rsid w:val="008F5769"/>
    <w:rsid w:val="008F7424"/>
    <w:rsid w:val="00903AF7"/>
    <w:rsid w:val="0090568D"/>
    <w:rsid w:val="009079C4"/>
    <w:rsid w:val="00907CAE"/>
    <w:rsid w:val="009125C9"/>
    <w:rsid w:val="00913879"/>
    <w:rsid w:val="00915118"/>
    <w:rsid w:val="009165DF"/>
    <w:rsid w:val="00917661"/>
    <w:rsid w:val="00917CAF"/>
    <w:rsid w:val="00920099"/>
    <w:rsid w:val="00920525"/>
    <w:rsid w:val="00920E9B"/>
    <w:rsid w:val="00920F4F"/>
    <w:rsid w:val="00921F4F"/>
    <w:rsid w:val="00924A5A"/>
    <w:rsid w:val="0092510A"/>
    <w:rsid w:val="00926ABE"/>
    <w:rsid w:val="00927960"/>
    <w:rsid w:val="00927DFD"/>
    <w:rsid w:val="00927EA5"/>
    <w:rsid w:val="009301AE"/>
    <w:rsid w:val="00931B85"/>
    <w:rsid w:val="00935055"/>
    <w:rsid w:val="00935D84"/>
    <w:rsid w:val="00936222"/>
    <w:rsid w:val="009370F6"/>
    <w:rsid w:val="009400B1"/>
    <w:rsid w:val="00942174"/>
    <w:rsid w:val="00943715"/>
    <w:rsid w:val="009439E3"/>
    <w:rsid w:val="009466AE"/>
    <w:rsid w:val="009469F0"/>
    <w:rsid w:val="00947D0E"/>
    <w:rsid w:val="00953B88"/>
    <w:rsid w:val="009546DE"/>
    <w:rsid w:val="0095498C"/>
    <w:rsid w:val="009553BD"/>
    <w:rsid w:val="00955A6B"/>
    <w:rsid w:val="00955C1B"/>
    <w:rsid w:val="009561AA"/>
    <w:rsid w:val="00957CCF"/>
    <w:rsid w:val="00957F95"/>
    <w:rsid w:val="00961E03"/>
    <w:rsid w:val="00963408"/>
    <w:rsid w:val="00963C1B"/>
    <w:rsid w:val="00966D79"/>
    <w:rsid w:val="00970753"/>
    <w:rsid w:val="00970E5D"/>
    <w:rsid w:val="0097443E"/>
    <w:rsid w:val="00974560"/>
    <w:rsid w:val="00975475"/>
    <w:rsid w:val="00975F27"/>
    <w:rsid w:val="00976A8F"/>
    <w:rsid w:val="0097701C"/>
    <w:rsid w:val="00980311"/>
    <w:rsid w:val="0098095E"/>
    <w:rsid w:val="00980A65"/>
    <w:rsid w:val="00982C39"/>
    <w:rsid w:val="00983A33"/>
    <w:rsid w:val="009842A4"/>
    <w:rsid w:val="009846BE"/>
    <w:rsid w:val="0098778A"/>
    <w:rsid w:val="00990EB6"/>
    <w:rsid w:val="00991BB8"/>
    <w:rsid w:val="009927B0"/>
    <w:rsid w:val="00994361"/>
    <w:rsid w:val="00996AA8"/>
    <w:rsid w:val="00997B43"/>
    <w:rsid w:val="00997BAF"/>
    <w:rsid w:val="009A024B"/>
    <w:rsid w:val="009A0D8C"/>
    <w:rsid w:val="009A12A5"/>
    <w:rsid w:val="009A4568"/>
    <w:rsid w:val="009A4569"/>
    <w:rsid w:val="009A49C9"/>
    <w:rsid w:val="009A4E8C"/>
    <w:rsid w:val="009B0BEF"/>
    <w:rsid w:val="009B2B37"/>
    <w:rsid w:val="009B3AF5"/>
    <w:rsid w:val="009B3EF4"/>
    <w:rsid w:val="009B526E"/>
    <w:rsid w:val="009B6E5E"/>
    <w:rsid w:val="009B76FF"/>
    <w:rsid w:val="009B7FF5"/>
    <w:rsid w:val="009C0B5D"/>
    <w:rsid w:val="009C0C73"/>
    <w:rsid w:val="009C2A4B"/>
    <w:rsid w:val="009C32B3"/>
    <w:rsid w:val="009C3414"/>
    <w:rsid w:val="009C444F"/>
    <w:rsid w:val="009C509F"/>
    <w:rsid w:val="009C5466"/>
    <w:rsid w:val="009C62C8"/>
    <w:rsid w:val="009C781E"/>
    <w:rsid w:val="009D21C2"/>
    <w:rsid w:val="009D3993"/>
    <w:rsid w:val="009D49FA"/>
    <w:rsid w:val="009D50C3"/>
    <w:rsid w:val="009E0D0E"/>
    <w:rsid w:val="009E3C39"/>
    <w:rsid w:val="009E7AF7"/>
    <w:rsid w:val="009F0251"/>
    <w:rsid w:val="009F2024"/>
    <w:rsid w:val="009F2514"/>
    <w:rsid w:val="009F2C6D"/>
    <w:rsid w:val="009F33A2"/>
    <w:rsid w:val="009F3AE9"/>
    <w:rsid w:val="009F3B36"/>
    <w:rsid w:val="009F46BE"/>
    <w:rsid w:val="009F47C3"/>
    <w:rsid w:val="009F597A"/>
    <w:rsid w:val="009F642F"/>
    <w:rsid w:val="009F65E6"/>
    <w:rsid w:val="009F7407"/>
    <w:rsid w:val="009F781B"/>
    <w:rsid w:val="009F7C96"/>
    <w:rsid w:val="00A007EA"/>
    <w:rsid w:val="00A02834"/>
    <w:rsid w:val="00A02F94"/>
    <w:rsid w:val="00A036F9"/>
    <w:rsid w:val="00A03CC6"/>
    <w:rsid w:val="00A05D7B"/>
    <w:rsid w:val="00A07C0B"/>
    <w:rsid w:val="00A10FF4"/>
    <w:rsid w:val="00A11A35"/>
    <w:rsid w:val="00A14438"/>
    <w:rsid w:val="00A15225"/>
    <w:rsid w:val="00A15C02"/>
    <w:rsid w:val="00A208E0"/>
    <w:rsid w:val="00A23556"/>
    <w:rsid w:val="00A23837"/>
    <w:rsid w:val="00A2436C"/>
    <w:rsid w:val="00A24B3C"/>
    <w:rsid w:val="00A25E70"/>
    <w:rsid w:val="00A2677F"/>
    <w:rsid w:val="00A26820"/>
    <w:rsid w:val="00A26E1C"/>
    <w:rsid w:val="00A26F80"/>
    <w:rsid w:val="00A30176"/>
    <w:rsid w:val="00A31FA6"/>
    <w:rsid w:val="00A324C5"/>
    <w:rsid w:val="00A33382"/>
    <w:rsid w:val="00A33765"/>
    <w:rsid w:val="00A348E3"/>
    <w:rsid w:val="00A35952"/>
    <w:rsid w:val="00A37399"/>
    <w:rsid w:val="00A37567"/>
    <w:rsid w:val="00A4074E"/>
    <w:rsid w:val="00A40B19"/>
    <w:rsid w:val="00A417A6"/>
    <w:rsid w:val="00A4262E"/>
    <w:rsid w:val="00A42A1C"/>
    <w:rsid w:val="00A43A2C"/>
    <w:rsid w:val="00A44EA6"/>
    <w:rsid w:val="00A461B1"/>
    <w:rsid w:val="00A47BB2"/>
    <w:rsid w:val="00A50A06"/>
    <w:rsid w:val="00A5693A"/>
    <w:rsid w:val="00A56B5E"/>
    <w:rsid w:val="00A56E55"/>
    <w:rsid w:val="00A57818"/>
    <w:rsid w:val="00A6024A"/>
    <w:rsid w:val="00A60DEE"/>
    <w:rsid w:val="00A62672"/>
    <w:rsid w:val="00A62937"/>
    <w:rsid w:val="00A63269"/>
    <w:rsid w:val="00A63788"/>
    <w:rsid w:val="00A63952"/>
    <w:rsid w:val="00A63FA6"/>
    <w:rsid w:val="00A649DB"/>
    <w:rsid w:val="00A66D2D"/>
    <w:rsid w:val="00A71AE9"/>
    <w:rsid w:val="00A73B4D"/>
    <w:rsid w:val="00A75F92"/>
    <w:rsid w:val="00A81B99"/>
    <w:rsid w:val="00A840E8"/>
    <w:rsid w:val="00A873D0"/>
    <w:rsid w:val="00A873D2"/>
    <w:rsid w:val="00A879A5"/>
    <w:rsid w:val="00A92377"/>
    <w:rsid w:val="00A94629"/>
    <w:rsid w:val="00A94B05"/>
    <w:rsid w:val="00A954FE"/>
    <w:rsid w:val="00A95C04"/>
    <w:rsid w:val="00AA09C2"/>
    <w:rsid w:val="00AA0D86"/>
    <w:rsid w:val="00AA12E8"/>
    <w:rsid w:val="00AA14F7"/>
    <w:rsid w:val="00AA1DA7"/>
    <w:rsid w:val="00AA38AD"/>
    <w:rsid w:val="00AA485D"/>
    <w:rsid w:val="00AB064D"/>
    <w:rsid w:val="00AB0EBE"/>
    <w:rsid w:val="00AB29ED"/>
    <w:rsid w:val="00AB34AD"/>
    <w:rsid w:val="00AB3AC3"/>
    <w:rsid w:val="00AB3C6A"/>
    <w:rsid w:val="00AB44B8"/>
    <w:rsid w:val="00AB4BF6"/>
    <w:rsid w:val="00AB4EDB"/>
    <w:rsid w:val="00AB5268"/>
    <w:rsid w:val="00AB560D"/>
    <w:rsid w:val="00AB60FE"/>
    <w:rsid w:val="00AB7C2E"/>
    <w:rsid w:val="00AC2188"/>
    <w:rsid w:val="00AC2D20"/>
    <w:rsid w:val="00AC6EEB"/>
    <w:rsid w:val="00AC7555"/>
    <w:rsid w:val="00AD5A81"/>
    <w:rsid w:val="00AD7095"/>
    <w:rsid w:val="00AE02D6"/>
    <w:rsid w:val="00AE0470"/>
    <w:rsid w:val="00AE0DD9"/>
    <w:rsid w:val="00AE266E"/>
    <w:rsid w:val="00AE4B6D"/>
    <w:rsid w:val="00AE4BD8"/>
    <w:rsid w:val="00AE5CAA"/>
    <w:rsid w:val="00AE69F7"/>
    <w:rsid w:val="00AF18E9"/>
    <w:rsid w:val="00AF2702"/>
    <w:rsid w:val="00AF36E5"/>
    <w:rsid w:val="00AF5A84"/>
    <w:rsid w:val="00AF71EB"/>
    <w:rsid w:val="00AF76CE"/>
    <w:rsid w:val="00B0065C"/>
    <w:rsid w:val="00B04968"/>
    <w:rsid w:val="00B04D24"/>
    <w:rsid w:val="00B05BAD"/>
    <w:rsid w:val="00B06686"/>
    <w:rsid w:val="00B0682B"/>
    <w:rsid w:val="00B068D3"/>
    <w:rsid w:val="00B06F87"/>
    <w:rsid w:val="00B10464"/>
    <w:rsid w:val="00B10A98"/>
    <w:rsid w:val="00B10F0E"/>
    <w:rsid w:val="00B1245E"/>
    <w:rsid w:val="00B14B76"/>
    <w:rsid w:val="00B14C6A"/>
    <w:rsid w:val="00B15E75"/>
    <w:rsid w:val="00B20E5C"/>
    <w:rsid w:val="00B20FB2"/>
    <w:rsid w:val="00B21254"/>
    <w:rsid w:val="00B23AF4"/>
    <w:rsid w:val="00B23CDE"/>
    <w:rsid w:val="00B24143"/>
    <w:rsid w:val="00B25370"/>
    <w:rsid w:val="00B26E58"/>
    <w:rsid w:val="00B32605"/>
    <w:rsid w:val="00B3524F"/>
    <w:rsid w:val="00B3539E"/>
    <w:rsid w:val="00B37EB0"/>
    <w:rsid w:val="00B40539"/>
    <w:rsid w:val="00B40E92"/>
    <w:rsid w:val="00B41A3E"/>
    <w:rsid w:val="00B42181"/>
    <w:rsid w:val="00B4388F"/>
    <w:rsid w:val="00B46551"/>
    <w:rsid w:val="00B46582"/>
    <w:rsid w:val="00B468F6"/>
    <w:rsid w:val="00B50A02"/>
    <w:rsid w:val="00B52030"/>
    <w:rsid w:val="00B5246D"/>
    <w:rsid w:val="00B529BA"/>
    <w:rsid w:val="00B53ADF"/>
    <w:rsid w:val="00B61B41"/>
    <w:rsid w:val="00B62941"/>
    <w:rsid w:val="00B62964"/>
    <w:rsid w:val="00B62DCE"/>
    <w:rsid w:val="00B63237"/>
    <w:rsid w:val="00B63A77"/>
    <w:rsid w:val="00B66AC4"/>
    <w:rsid w:val="00B67469"/>
    <w:rsid w:val="00B67C74"/>
    <w:rsid w:val="00B707A1"/>
    <w:rsid w:val="00B71744"/>
    <w:rsid w:val="00B722B5"/>
    <w:rsid w:val="00B73753"/>
    <w:rsid w:val="00B73CBF"/>
    <w:rsid w:val="00B74BBC"/>
    <w:rsid w:val="00B75EC2"/>
    <w:rsid w:val="00B803DD"/>
    <w:rsid w:val="00B83FB9"/>
    <w:rsid w:val="00B85A98"/>
    <w:rsid w:val="00B87525"/>
    <w:rsid w:val="00B92F5C"/>
    <w:rsid w:val="00B943ED"/>
    <w:rsid w:val="00B945E7"/>
    <w:rsid w:val="00B963A1"/>
    <w:rsid w:val="00B96DF2"/>
    <w:rsid w:val="00BA0258"/>
    <w:rsid w:val="00BA0707"/>
    <w:rsid w:val="00BA1DCF"/>
    <w:rsid w:val="00BA2BDB"/>
    <w:rsid w:val="00BA446A"/>
    <w:rsid w:val="00BA5BBA"/>
    <w:rsid w:val="00BA7A6A"/>
    <w:rsid w:val="00BB12EA"/>
    <w:rsid w:val="00BB2708"/>
    <w:rsid w:val="00BB370F"/>
    <w:rsid w:val="00BB3DF8"/>
    <w:rsid w:val="00BB41F4"/>
    <w:rsid w:val="00BB5055"/>
    <w:rsid w:val="00BB6D4E"/>
    <w:rsid w:val="00BB6EB0"/>
    <w:rsid w:val="00BC3B9F"/>
    <w:rsid w:val="00BC3D09"/>
    <w:rsid w:val="00BC4503"/>
    <w:rsid w:val="00BC48FC"/>
    <w:rsid w:val="00BC6CA2"/>
    <w:rsid w:val="00BC727C"/>
    <w:rsid w:val="00BC7E9F"/>
    <w:rsid w:val="00BD2CA6"/>
    <w:rsid w:val="00BD2DDA"/>
    <w:rsid w:val="00BD3080"/>
    <w:rsid w:val="00BD5CA0"/>
    <w:rsid w:val="00BD744E"/>
    <w:rsid w:val="00BD7764"/>
    <w:rsid w:val="00BE08B8"/>
    <w:rsid w:val="00BE2EBD"/>
    <w:rsid w:val="00BE35F9"/>
    <w:rsid w:val="00BE366F"/>
    <w:rsid w:val="00BE3B34"/>
    <w:rsid w:val="00BE4C57"/>
    <w:rsid w:val="00BE4E17"/>
    <w:rsid w:val="00BF0901"/>
    <w:rsid w:val="00BF127A"/>
    <w:rsid w:val="00BF17F9"/>
    <w:rsid w:val="00BF35DE"/>
    <w:rsid w:val="00BF3730"/>
    <w:rsid w:val="00BF3BAF"/>
    <w:rsid w:val="00BF3C73"/>
    <w:rsid w:val="00BF488E"/>
    <w:rsid w:val="00BF57D7"/>
    <w:rsid w:val="00BF72B6"/>
    <w:rsid w:val="00BF791F"/>
    <w:rsid w:val="00C009D0"/>
    <w:rsid w:val="00C02F84"/>
    <w:rsid w:val="00C03607"/>
    <w:rsid w:val="00C0380B"/>
    <w:rsid w:val="00C03B04"/>
    <w:rsid w:val="00C04028"/>
    <w:rsid w:val="00C04BE6"/>
    <w:rsid w:val="00C057FE"/>
    <w:rsid w:val="00C060BC"/>
    <w:rsid w:val="00C06C4C"/>
    <w:rsid w:val="00C075CD"/>
    <w:rsid w:val="00C11502"/>
    <w:rsid w:val="00C11E90"/>
    <w:rsid w:val="00C122CB"/>
    <w:rsid w:val="00C12EF3"/>
    <w:rsid w:val="00C141CB"/>
    <w:rsid w:val="00C14276"/>
    <w:rsid w:val="00C15433"/>
    <w:rsid w:val="00C1673A"/>
    <w:rsid w:val="00C203A4"/>
    <w:rsid w:val="00C207D9"/>
    <w:rsid w:val="00C20D06"/>
    <w:rsid w:val="00C21D13"/>
    <w:rsid w:val="00C2391C"/>
    <w:rsid w:val="00C23C25"/>
    <w:rsid w:val="00C23D89"/>
    <w:rsid w:val="00C2502A"/>
    <w:rsid w:val="00C25963"/>
    <w:rsid w:val="00C26252"/>
    <w:rsid w:val="00C26B8B"/>
    <w:rsid w:val="00C30696"/>
    <w:rsid w:val="00C30EA4"/>
    <w:rsid w:val="00C31770"/>
    <w:rsid w:val="00C3360B"/>
    <w:rsid w:val="00C34D2C"/>
    <w:rsid w:val="00C3518D"/>
    <w:rsid w:val="00C352EF"/>
    <w:rsid w:val="00C35DB3"/>
    <w:rsid w:val="00C36D84"/>
    <w:rsid w:val="00C42E2A"/>
    <w:rsid w:val="00C42F19"/>
    <w:rsid w:val="00C44DB6"/>
    <w:rsid w:val="00C4507E"/>
    <w:rsid w:val="00C46A1F"/>
    <w:rsid w:val="00C47A5D"/>
    <w:rsid w:val="00C50B4D"/>
    <w:rsid w:val="00C52E82"/>
    <w:rsid w:val="00C52F28"/>
    <w:rsid w:val="00C55D37"/>
    <w:rsid w:val="00C56EB8"/>
    <w:rsid w:val="00C57663"/>
    <w:rsid w:val="00C57D30"/>
    <w:rsid w:val="00C601B5"/>
    <w:rsid w:val="00C60537"/>
    <w:rsid w:val="00C61FAD"/>
    <w:rsid w:val="00C63BEE"/>
    <w:rsid w:val="00C6556D"/>
    <w:rsid w:val="00C656DF"/>
    <w:rsid w:val="00C67056"/>
    <w:rsid w:val="00C67186"/>
    <w:rsid w:val="00C67FE0"/>
    <w:rsid w:val="00C705AF"/>
    <w:rsid w:val="00C713C2"/>
    <w:rsid w:val="00C718BF"/>
    <w:rsid w:val="00C72722"/>
    <w:rsid w:val="00C72DFD"/>
    <w:rsid w:val="00C74D51"/>
    <w:rsid w:val="00C753EC"/>
    <w:rsid w:val="00C7560F"/>
    <w:rsid w:val="00C76BAE"/>
    <w:rsid w:val="00C779F2"/>
    <w:rsid w:val="00C808CE"/>
    <w:rsid w:val="00C81994"/>
    <w:rsid w:val="00C827C4"/>
    <w:rsid w:val="00C82B9E"/>
    <w:rsid w:val="00C82D8F"/>
    <w:rsid w:val="00C87C79"/>
    <w:rsid w:val="00C90362"/>
    <w:rsid w:val="00C93A98"/>
    <w:rsid w:val="00C93B40"/>
    <w:rsid w:val="00C941A3"/>
    <w:rsid w:val="00C949CA"/>
    <w:rsid w:val="00C960DC"/>
    <w:rsid w:val="00CA1C39"/>
    <w:rsid w:val="00CA2159"/>
    <w:rsid w:val="00CA2FC5"/>
    <w:rsid w:val="00CA4594"/>
    <w:rsid w:val="00CA60CB"/>
    <w:rsid w:val="00CB1606"/>
    <w:rsid w:val="00CB1735"/>
    <w:rsid w:val="00CB23F7"/>
    <w:rsid w:val="00CB289F"/>
    <w:rsid w:val="00CB2F43"/>
    <w:rsid w:val="00CB30D2"/>
    <w:rsid w:val="00CB40CC"/>
    <w:rsid w:val="00CB4FFA"/>
    <w:rsid w:val="00CB66CA"/>
    <w:rsid w:val="00CC26BF"/>
    <w:rsid w:val="00CC49A7"/>
    <w:rsid w:val="00CD166B"/>
    <w:rsid w:val="00CD1CFE"/>
    <w:rsid w:val="00CD1D8F"/>
    <w:rsid w:val="00CD1F34"/>
    <w:rsid w:val="00CD2722"/>
    <w:rsid w:val="00CD3DC2"/>
    <w:rsid w:val="00CE0B51"/>
    <w:rsid w:val="00CE0BE6"/>
    <w:rsid w:val="00CE0CCF"/>
    <w:rsid w:val="00CE1AD9"/>
    <w:rsid w:val="00CE22FC"/>
    <w:rsid w:val="00CE653A"/>
    <w:rsid w:val="00CE6D47"/>
    <w:rsid w:val="00CE7C56"/>
    <w:rsid w:val="00CF2E46"/>
    <w:rsid w:val="00CF2EB2"/>
    <w:rsid w:val="00CF477E"/>
    <w:rsid w:val="00CF63FC"/>
    <w:rsid w:val="00D018DD"/>
    <w:rsid w:val="00D01ED2"/>
    <w:rsid w:val="00D0258C"/>
    <w:rsid w:val="00D02C75"/>
    <w:rsid w:val="00D04C87"/>
    <w:rsid w:val="00D062F1"/>
    <w:rsid w:val="00D07859"/>
    <w:rsid w:val="00D079B6"/>
    <w:rsid w:val="00D079CA"/>
    <w:rsid w:val="00D1091B"/>
    <w:rsid w:val="00D10E22"/>
    <w:rsid w:val="00D113A7"/>
    <w:rsid w:val="00D1142F"/>
    <w:rsid w:val="00D11929"/>
    <w:rsid w:val="00D125BF"/>
    <w:rsid w:val="00D13583"/>
    <w:rsid w:val="00D13A8F"/>
    <w:rsid w:val="00D13D2C"/>
    <w:rsid w:val="00D14268"/>
    <w:rsid w:val="00D15161"/>
    <w:rsid w:val="00D17BDB"/>
    <w:rsid w:val="00D2066A"/>
    <w:rsid w:val="00D21FB3"/>
    <w:rsid w:val="00D2223D"/>
    <w:rsid w:val="00D230B7"/>
    <w:rsid w:val="00D23202"/>
    <w:rsid w:val="00D24FF4"/>
    <w:rsid w:val="00D25A3C"/>
    <w:rsid w:val="00D26CEB"/>
    <w:rsid w:val="00D279C4"/>
    <w:rsid w:val="00D27A03"/>
    <w:rsid w:val="00D27C38"/>
    <w:rsid w:val="00D312D1"/>
    <w:rsid w:val="00D318FC"/>
    <w:rsid w:val="00D32AEE"/>
    <w:rsid w:val="00D33879"/>
    <w:rsid w:val="00D3459B"/>
    <w:rsid w:val="00D35188"/>
    <w:rsid w:val="00D358A7"/>
    <w:rsid w:val="00D35CF6"/>
    <w:rsid w:val="00D366AD"/>
    <w:rsid w:val="00D36AD4"/>
    <w:rsid w:val="00D37483"/>
    <w:rsid w:val="00D40B7D"/>
    <w:rsid w:val="00D40EE4"/>
    <w:rsid w:val="00D4383F"/>
    <w:rsid w:val="00D4443C"/>
    <w:rsid w:val="00D445FB"/>
    <w:rsid w:val="00D446FD"/>
    <w:rsid w:val="00D4473D"/>
    <w:rsid w:val="00D44B4D"/>
    <w:rsid w:val="00D4542C"/>
    <w:rsid w:val="00D5057F"/>
    <w:rsid w:val="00D51C66"/>
    <w:rsid w:val="00D5231B"/>
    <w:rsid w:val="00D53173"/>
    <w:rsid w:val="00D5317C"/>
    <w:rsid w:val="00D5348D"/>
    <w:rsid w:val="00D53B90"/>
    <w:rsid w:val="00D542A1"/>
    <w:rsid w:val="00D552E4"/>
    <w:rsid w:val="00D55BD2"/>
    <w:rsid w:val="00D575DF"/>
    <w:rsid w:val="00D5785D"/>
    <w:rsid w:val="00D6196B"/>
    <w:rsid w:val="00D622FE"/>
    <w:rsid w:val="00D64071"/>
    <w:rsid w:val="00D64B6A"/>
    <w:rsid w:val="00D65389"/>
    <w:rsid w:val="00D6696D"/>
    <w:rsid w:val="00D70939"/>
    <w:rsid w:val="00D71290"/>
    <w:rsid w:val="00D71CB9"/>
    <w:rsid w:val="00D72757"/>
    <w:rsid w:val="00D72A04"/>
    <w:rsid w:val="00D73018"/>
    <w:rsid w:val="00D764F4"/>
    <w:rsid w:val="00D77BC1"/>
    <w:rsid w:val="00D77E54"/>
    <w:rsid w:val="00D80226"/>
    <w:rsid w:val="00D804A5"/>
    <w:rsid w:val="00D836E1"/>
    <w:rsid w:val="00D83832"/>
    <w:rsid w:val="00D83B8D"/>
    <w:rsid w:val="00D840C3"/>
    <w:rsid w:val="00D84DE2"/>
    <w:rsid w:val="00D8546A"/>
    <w:rsid w:val="00D85851"/>
    <w:rsid w:val="00D8700E"/>
    <w:rsid w:val="00D9039B"/>
    <w:rsid w:val="00D90D33"/>
    <w:rsid w:val="00D915F8"/>
    <w:rsid w:val="00D92A29"/>
    <w:rsid w:val="00D930C9"/>
    <w:rsid w:val="00D943E6"/>
    <w:rsid w:val="00D95532"/>
    <w:rsid w:val="00DA1BF3"/>
    <w:rsid w:val="00DA3A78"/>
    <w:rsid w:val="00DA3DD6"/>
    <w:rsid w:val="00DA510A"/>
    <w:rsid w:val="00DA518B"/>
    <w:rsid w:val="00DA6334"/>
    <w:rsid w:val="00DA641A"/>
    <w:rsid w:val="00DA77EB"/>
    <w:rsid w:val="00DA7CA4"/>
    <w:rsid w:val="00DB06D2"/>
    <w:rsid w:val="00DB41AC"/>
    <w:rsid w:val="00DB5C12"/>
    <w:rsid w:val="00DC09B4"/>
    <w:rsid w:val="00DC2F94"/>
    <w:rsid w:val="00DC37E3"/>
    <w:rsid w:val="00DC3D7F"/>
    <w:rsid w:val="00DC49BC"/>
    <w:rsid w:val="00DC5622"/>
    <w:rsid w:val="00DC56F2"/>
    <w:rsid w:val="00DC69EC"/>
    <w:rsid w:val="00DC7686"/>
    <w:rsid w:val="00DC76BB"/>
    <w:rsid w:val="00DD0991"/>
    <w:rsid w:val="00DD111C"/>
    <w:rsid w:val="00DD2418"/>
    <w:rsid w:val="00DD3910"/>
    <w:rsid w:val="00DD3D9E"/>
    <w:rsid w:val="00DD58C5"/>
    <w:rsid w:val="00DD60F4"/>
    <w:rsid w:val="00DD7908"/>
    <w:rsid w:val="00DE02DA"/>
    <w:rsid w:val="00DE27D3"/>
    <w:rsid w:val="00DE2BE8"/>
    <w:rsid w:val="00DE465E"/>
    <w:rsid w:val="00DE49E4"/>
    <w:rsid w:val="00DE531D"/>
    <w:rsid w:val="00DE74BB"/>
    <w:rsid w:val="00DF4F0B"/>
    <w:rsid w:val="00DF5684"/>
    <w:rsid w:val="00E000D2"/>
    <w:rsid w:val="00E022FD"/>
    <w:rsid w:val="00E06B34"/>
    <w:rsid w:val="00E06DD7"/>
    <w:rsid w:val="00E07497"/>
    <w:rsid w:val="00E10653"/>
    <w:rsid w:val="00E1108B"/>
    <w:rsid w:val="00E11124"/>
    <w:rsid w:val="00E12515"/>
    <w:rsid w:val="00E12D34"/>
    <w:rsid w:val="00E13A2E"/>
    <w:rsid w:val="00E14FF9"/>
    <w:rsid w:val="00E156AE"/>
    <w:rsid w:val="00E15D3D"/>
    <w:rsid w:val="00E17AB5"/>
    <w:rsid w:val="00E21696"/>
    <w:rsid w:val="00E22720"/>
    <w:rsid w:val="00E23955"/>
    <w:rsid w:val="00E23DA3"/>
    <w:rsid w:val="00E24A9E"/>
    <w:rsid w:val="00E260A5"/>
    <w:rsid w:val="00E32C92"/>
    <w:rsid w:val="00E32D97"/>
    <w:rsid w:val="00E33272"/>
    <w:rsid w:val="00E349BA"/>
    <w:rsid w:val="00E36CDF"/>
    <w:rsid w:val="00E379FC"/>
    <w:rsid w:val="00E40C95"/>
    <w:rsid w:val="00E44A50"/>
    <w:rsid w:val="00E4509D"/>
    <w:rsid w:val="00E4599B"/>
    <w:rsid w:val="00E468EC"/>
    <w:rsid w:val="00E46A36"/>
    <w:rsid w:val="00E470F9"/>
    <w:rsid w:val="00E4731A"/>
    <w:rsid w:val="00E50A9F"/>
    <w:rsid w:val="00E536F0"/>
    <w:rsid w:val="00E542BD"/>
    <w:rsid w:val="00E54321"/>
    <w:rsid w:val="00E55755"/>
    <w:rsid w:val="00E57679"/>
    <w:rsid w:val="00E60633"/>
    <w:rsid w:val="00E60B23"/>
    <w:rsid w:val="00E63CA0"/>
    <w:rsid w:val="00E64D8A"/>
    <w:rsid w:val="00E66041"/>
    <w:rsid w:val="00E66200"/>
    <w:rsid w:val="00E66611"/>
    <w:rsid w:val="00E66666"/>
    <w:rsid w:val="00E70456"/>
    <w:rsid w:val="00E7060D"/>
    <w:rsid w:val="00E719A4"/>
    <w:rsid w:val="00E7256A"/>
    <w:rsid w:val="00E73B8F"/>
    <w:rsid w:val="00E7431E"/>
    <w:rsid w:val="00E75AB6"/>
    <w:rsid w:val="00E77083"/>
    <w:rsid w:val="00E776A3"/>
    <w:rsid w:val="00E81413"/>
    <w:rsid w:val="00E82297"/>
    <w:rsid w:val="00E822D4"/>
    <w:rsid w:val="00E83A44"/>
    <w:rsid w:val="00E8540E"/>
    <w:rsid w:val="00E85DEA"/>
    <w:rsid w:val="00E862BE"/>
    <w:rsid w:val="00E86C4D"/>
    <w:rsid w:val="00E87FF3"/>
    <w:rsid w:val="00E91E90"/>
    <w:rsid w:val="00E92270"/>
    <w:rsid w:val="00E96403"/>
    <w:rsid w:val="00E967A2"/>
    <w:rsid w:val="00EA0198"/>
    <w:rsid w:val="00EA146D"/>
    <w:rsid w:val="00EA16A5"/>
    <w:rsid w:val="00EA185B"/>
    <w:rsid w:val="00EA1961"/>
    <w:rsid w:val="00EA30B1"/>
    <w:rsid w:val="00EA3F83"/>
    <w:rsid w:val="00EA4068"/>
    <w:rsid w:val="00EA40B6"/>
    <w:rsid w:val="00EA485C"/>
    <w:rsid w:val="00EA4C39"/>
    <w:rsid w:val="00EA67A2"/>
    <w:rsid w:val="00EA686F"/>
    <w:rsid w:val="00EA6B6E"/>
    <w:rsid w:val="00EA7160"/>
    <w:rsid w:val="00EA7259"/>
    <w:rsid w:val="00EA7D82"/>
    <w:rsid w:val="00EB0E8F"/>
    <w:rsid w:val="00EB103C"/>
    <w:rsid w:val="00EB1131"/>
    <w:rsid w:val="00EB3B5F"/>
    <w:rsid w:val="00EB3EB8"/>
    <w:rsid w:val="00EB40D5"/>
    <w:rsid w:val="00EB43E2"/>
    <w:rsid w:val="00EB59BB"/>
    <w:rsid w:val="00EB69FD"/>
    <w:rsid w:val="00EB7714"/>
    <w:rsid w:val="00EB7860"/>
    <w:rsid w:val="00EB7F6E"/>
    <w:rsid w:val="00EC0AEF"/>
    <w:rsid w:val="00EC10FA"/>
    <w:rsid w:val="00EC18AD"/>
    <w:rsid w:val="00EC485B"/>
    <w:rsid w:val="00EC5C02"/>
    <w:rsid w:val="00EC5F1F"/>
    <w:rsid w:val="00EC5F74"/>
    <w:rsid w:val="00EC6F86"/>
    <w:rsid w:val="00EC7B8E"/>
    <w:rsid w:val="00ED04EA"/>
    <w:rsid w:val="00ED3D91"/>
    <w:rsid w:val="00ED4F7F"/>
    <w:rsid w:val="00ED5992"/>
    <w:rsid w:val="00ED67AB"/>
    <w:rsid w:val="00ED75F4"/>
    <w:rsid w:val="00EE0764"/>
    <w:rsid w:val="00EE2393"/>
    <w:rsid w:val="00EE2399"/>
    <w:rsid w:val="00EE5B23"/>
    <w:rsid w:val="00EE7580"/>
    <w:rsid w:val="00EF0B9A"/>
    <w:rsid w:val="00EF1C9F"/>
    <w:rsid w:val="00EF24E2"/>
    <w:rsid w:val="00EF39FD"/>
    <w:rsid w:val="00F00A4B"/>
    <w:rsid w:val="00F00ADF"/>
    <w:rsid w:val="00F00D57"/>
    <w:rsid w:val="00F01F5B"/>
    <w:rsid w:val="00F02445"/>
    <w:rsid w:val="00F05777"/>
    <w:rsid w:val="00F05CEA"/>
    <w:rsid w:val="00F06842"/>
    <w:rsid w:val="00F07DBE"/>
    <w:rsid w:val="00F107FD"/>
    <w:rsid w:val="00F10B2D"/>
    <w:rsid w:val="00F13962"/>
    <w:rsid w:val="00F14903"/>
    <w:rsid w:val="00F17A21"/>
    <w:rsid w:val="00F20CEF"/>
    <w:rsid w:val="00F20FF8"/>
    <w:rsid w:val="00F21327"/>
    <w:rsid w:val="00F232ED"/>
    <w:rsid w:val="00F253F7"/>
    <w:rsid w:val="00F25677"/>
    <w:rsid w:val="00F25766"/>
    <w:rsid w:val="00F30509"/>
    <w:rsid w:val="00F30934"/>
    <w:rsid w:val="00F35512"/>
    <w:rsid w:val="00F363EF"/>
    <w:rsid w:val="00F378AC"/>
    <w:rsid w:val="00F418C2"/>
    <w:rsid w:val="00F42348"/>
    <w:rsid w:val="00F425C6"/>
    <w:rsid w:val="00F44AD0"/>
    <w:rsid w:val="00F45ABD"/>
    <w:rsid w:val="00F46B52"/>
    <w:rsid w:val="00F475C3"/>
    <w:rsid w:val="00F51052"/>
    <w:rsid w:val="00F5288C"/>
    <w:rsid w:val="00F535AC"/>
    <w:rsid w:val="00F5385B"/>
    <w:rsid w:val="00F53CDA"/>
    <w:rsid w:val="00F54001"/>
    <w:rsid w:val="00F54BDE"/>
    <w:rsid w:val="00F555D5"/>
    <w:rsid w:val="00F557B6"/>
    <w:rsid w:val="00F56606"/>
    <w:rsid w:val="00F56711"/>
    <w:rsid w:val="00F56AC3"/>
    <w:rsid w:val="00F61E87"/>
    <w:rsid w:val="00F62CF3"/>
    <w:rsid w:val="00F63C14"/>
    <w:rsid w:val="00F66EB9"/>
    <w:rsid w:val="00F706E3"/>
    <w:rsid w:val="00F70F76"/>
    <w:rsid w:val="00F74CB6"/>
    <w:rsid w:val="00F754BA"/>
    <w:rsid w:val="00F7553D"/>
    <w:rsid w:val="00F768BE"/>
    <w:rsid w:val="00F777BC"/>
    <w:rsid w:val="00F77E9B"/>
    <w:rsid w:val="00F80346"/>
    <w:rsid w:val="00F829D4"/>
    <w:rsid w:val="00F8367C"/>
    <w:rsid w:val="00F83753"/>
    <w:rsid w:val="00F83755"/>
    <w:rsid w:val="00F8436B"/>
    <w:rsid w:val="00F84652"/>
    <w:rsid w:val="00F86809"/>
    <w:rsid w:val="00F869AA"/>
    <w:rsid w:val="00F86A99"/>
    <w:rsid w:val="00F86BF6"/>
    <w:rsid w:val="00F903A9"/>
    <w:rsid w:val="00F91AFE"/>
    <w:rsid w:val="00F92EFE"/>
    <w:rsid w:val="00F96544"/>
    <w:rsid w:val="00F970A8"/>
    <w:rsid w:val="00F978A0"/>
    <w:rsid w:val="00FA06F9"/>
    <w:rsid w:val="00FA18D0"/>
    <w:rsid w:val="00FA4D6D"/>
    <w:rsid w:val="00FA58CB"/>
    <w:rsid w:val="00FA652D"/>
    <w:rsid w:val="00FA6DE3"/>
    <w:rsid w:val="00FA7E30"/>
    <w:rsid w:val="00FB2C0C"/>
    <w:rsid w:val="00FB3231"/>
    <w:rsid w:val="00FB32FA"/>
    <w:rsid w:val="00FB527E"/>
    <w:rsid w:val="00FB63F3"/>
    <w:rsid w:val="00FB64A8"/>
    <w:rsid w:val="00FC0A3F"/>
    <w:rsid w:val="00FC31D8"/>
    <w:rsid w:val="00FC419B"/>
    <w:rsid w:val="00FC5659"/>
    <w:rsid w:val="00FC5702"/>
    <w:rsid w:val="00FC570D"/>
    <w:rsid w:val="00FC6BAB"/>
    <w:rsid w:val="00FC6C74"/>
    <w:rsid w:val="00FC6CBE"/>
    <w:rsid w:val="00FD0751"/>
    <w:rsid w:val="00FD0808"/>
    <w:rsid w:val="00FD09D2"/>
    <w:rsid w:val="00FD1EF8"/>
    <w:rsid w:val="00FD2AC3"/>
    <w:rsid w:val="00FD7FCD"/>
    <w:rsid w:val="00FE02DA"/>
    <w:rsid w:val="00FE0540"/>
    <w:rsid w:val="00FE1890"/>
    <w:rsid w:val="00FE1BD9"/>
    <w:rsid w:val="00FE1CBA"/>
    <w:rsid w:val="00FE5F93"/>
    <w:rsid w:val="00FE7E1F"/>
    <w:rsid w:val="00FF00F0"/>
    <w:rsid w:val="00FF15A8"/>
    <w:rsid w:val="00FF1605"/>
    <w:rsid w:val="00FF2D1F"/>
    <w:rsid w:val="00FF38EC"/>
    <w:rsid w:val="00FF4E65"/>
    <w:rsid w:val="0B215E79"/>
    <w:rsid w:val="1127ACDB"/>
    <w:rsid w:val="1965E265"/>
    <w:rsid w:val="1F582ED6"/>
    <w:rsid w:val="24F04634"/>
    <w:rsid w:val="26705F1B"/>
    <w:rsid w:val="2AB16612"/>
    <w:rsid w:val="2CD0FD33"/>
    <w:rsid w:val="385AAF96"/>
    <w:rsid w:val="3CB7F86C"/>
    <w:rsid w:val="55618CE2"/>
    <w:rsid w:val="77C6673B"/>
    <w:rsid w:val="7D83BA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ADF95D0C-CFDE-4E09-B5C6-90EB7D80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itre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ppeldenotedefin">
    <w:name w:val="endnote reference"/>
    <w:basedOn w:val="Policepardfaut"/>
    <w:semiHidden/>
    <w:rsid w:val="008B0184"/>
    <w:rPr>
      <w:vertAlign w:val="superscript"/>
    </w:rPr>
  </w:style>
  <w:style w:type="paragraph" w:styleId="En-tte">
    <w:name w:val="header"/>
    <w:rsid w:val="008B0184"/>
    <w:pPr>
      <w:tabs>
        <w:tab w:val="center" w:pos="3600"/>
        <w:tab w:val="right" w:pos="7200"/>
      </w:tabs>
      <w:spacing w:line="200" w:lineRule="atLeast"/>
    </w:pPr>
    <w:rPr>
      <w:noProof/>
      <w:lang w:eastAsia="en-US"/>
    </w:rPr>
  </w:style>
  <w:style w:type="paragraph" w:styleId="Pieddepage">
    <w:name w:val="footer"/>
    <w:basedOn w:val="En-tte"/>
    <w:rsid w:val="008B0184"/>
  </w:style>
  <w:style w:type="character" w:styleId="Appelnotedebasdep">
    <w:name w:val="footnote reference"/>
    <w:semiHidden/>
    <w:rsid w:val="008B0184"/>
    <w:rPr>
      <w:vertAlign w:val="superscript"/>
    </w:rPr>
  </w:style>
  <w:style w:type="paragraph" w:styleId="Notedebasdepage">
    <w:name w:val="footnote text"/>
    <w:basedOn w:val="Normal"/>
    <w:semiHidden/>
    <w:rsid w:val="008B0184"/>
    <w:rPr>
      <w:rFonts w:ascii="Univers" w:hAnsi="Univers"/>
    </w:rPr>
  </w:style>
  <w:style w:type="character" w:styleId="Lienhypertexte">
    <w:name w:val="Hyperlink"/>
    <w:basedOn w:val="Policepardfaut"/>
    <w:rsid w:val="008B0184"/>
    <w:rPr>
      <w:color w:val="0000FF"/>
      <w:u w:val="single"/>
    </w:rPr>
  </w:style>
  <w:style w:type="character" w:customStyle="1" w:styleId="MTEquationSection">
    <w:name w:val="MTEquationSection"/>
    <w:basedOn w:val="Policepardfaut"/>
    <w:rsid w:val="008B0184"/>
    <w:rPr>
      <w:vanish/>
      <w:color w:val="FF0000"/>
    </w:rPr>
  </w:style>
  <w:style w:type="character" w:styleId="Numrodepage">
    <w:name w:val="page number"/>
    <w:basedOn w:val="Policepardfau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Policepardfaut"/>
    <w:rsid w:val="008B0184"/>
    <w:rPr>
      <w:sz w:val="18"/>
      <w:lang w:val="en-US" w:eastAsia="en-US" w:bidi="ar-SA"/>
    </w:rPr>
  </w:style>
  <w:style w:type="character" w:styleId="Marquedecommentaire">
    <w:name w:val="annotation reference"/>
    <w:basedOn w:val="Policepardfaut"/>
    <w:semiHidden/>
    <w:rsid w:val="008B0184"/>
    <w:rPr>
      <w:sz w:val="16"/>
      <w:szCs w:val="16"/>
    </w:rPr>
  </w:style>
  <w:style w:type="paragraph" w:styleId="Commentaire">
    <w:name w:val="annotation text"/>
    <w:basedOn w:val="Normal"/>
    <w:link w:val="CommentaireCar"/>
    <w:semiHidden/>
    <w:rsid w:val="008B0184"/>
  </w:style>
  <w:style w:type="paragraph" w:styleId="Objetducommentaire">
    <w:name w:val="annotation subject"/>
    <w:basedOn w:val="Commentaire"/>
    <w:next w:val="Commentaire"/>
    <w:semiHidden/>
    <w:rsid w:val="008B0184"/>
    <w:rPr>
      <w:b/>
      <w:bCs/>
    </w:rPr>
  </w:style>
  <w:style w:type="paragraph" w:styleId="Textedebulles">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Policepardfau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CommentaireCar">
    <w:name w:val="Commentaire Car"/>
    <w:basedOn w:val="Policepardfaut"/>
    <w:link w:val="Commentaire"/>
    <w:semiHidden/>
    <w:rsid w:val="00B42181"/>
    <w:rPr>
      <w:lang w:eastAsia="en-US"/>
    </w:rPr>
  </w:style>
  <w:style w:type="paragraph" w:styleId="Rvision">
    <w:name w:val="Revision"/>
    <w:hidden/>
    <w:uiPriority w:val="99"/>
    <w:semiHidden/>
    <w:rsid w:val="00F768BE"/>
    <w:rPr>
      <w:lang w:eastAsia="en-US"/>
    </w:rPr>
  </w:style>
  <w:style w:type="character" w:styleId="Textedelespacerserv">
    <w:name w:val="Placeholder Text"/>
    <w:basedOn w:val="Policepardfaut"/>
    <w:uiPriority w:val="99"/>
    <w:semiHidden/>
    <w:rsid w:val="00645E9E"/>
    <w:rPr>
      <w:color w:val="666666"/>
    </w:rPr>
  </w:style>
  <w:style w:type="table" w:styleId="Grilledutableau">
    <w:name w:val="Table Grid"/>
    <w:basedOn w:val="TableauNormal"/>
    <w:rsid w:val="00803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ie">
    <w:name w:val="Bibliography"/>
    <w:basedOn w:val="Normal"/>
    <w:next w:val="Normal"/>
    <w:uiPriority w:val="37"/>
    <w:unhideWhenUsed/>
    <w:rsid w:val="00530902"/>
    <w:pPr>
      <w:spacing w:after="240"/>
    </w:pPr>
  </w:style>
  <w:style w:type="character" w:styleId="Mentionnonrsolue">
    <w:name w:val="Unresolved Mention"/>
    <w:basedOn w:val="Policepardfaut"/>
    <w:uiPriority w:val="99"/>
    <w:semiHidden/>
    <w:unhideWhenUsed/>
    <w:rsid w:val="008E3D67"/>
    <w:rPr>
      <w:color w:val="605E5C"/>
      <w:shd w:val="clear" w:color="auto" w:fill="E1DFDD"/>
    </w:rPr>
  </w:style>
  <w:style w:type="character"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182488">
      <w:bodyDiv w:val="1"/>
      <w:marLeft w:val="0"/>
      <w:marRight w:val="0"/>
      <w:marTop w:val="0"/>
      <w:marBottom w:val="0"/>
      <w:divBdr>
        <w:top w:val="none" w:sz="0" w:space="0" w:color="auto"/>
        <w:left w:val="none" w:sz="0" w:space="0" w:color="auto"/>
        <w:bottom w:val="none" w:sz="0" w:space="0" w:color="auto"/>
        <w:right w:val="none" w:sz="0" w:space="0" w:color="auto"/>
      </w:divBdr>
    </w:div>
    <w:div w:id="1454057100">
      <w:bodyDiv w:val="1"/>
      <w:marLeft w:val="0"/>
      <w:marRight w:val="0"/>
      <w:marTop w:val="0"/>
      <w:marBottom w:val="0"/>
      <w:divBdr>
        <w:top w:val="none" w:sz="0" w:space="0" w:color="auto"/>
        <w:left w:val="none" w:sz="0" w:space="0" w:color="auto"/>
        <w:bottom w:val="none" w:sz="0" w:space="0" w:color="auto"/>
        <w:right w:val="none" w:sz="0" w:space="0" w:color="auto"/>
      </w:divBdr>
    </w:div>
    <w:div w:id="16601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documenttasks/documenttasks1.xml><?xml version="1.0" encoding="utf-8"?>
<t:Tasks xmlns:t="http://schemas.microsoft.com/office/tasks/2019/documenttasks" xmlns:oel="http://schemas.microsoft.com/office/2019/extlst">
  <t:Task id="{D7F67393-8BDE-4E89-84A1-4033EBD595D5}">
    <t:Anchor>
      <t:Comment id="663656971"/>
    </t:Anchor>
    <t:History>
      <t:Event id="{CB8154A3-F017-441F-B77C-ACBFF01A8F71}" time="2023-11-27T11:56:22.41Z">
        <t:Attribution userId="S::sebastien.potel@unilasalle.fr::52a42400-49ed-4656-a668-ab607b5e9c63" userProvider="AD" userName="Sébastien POTEL"/>
        <t:Anchor>
          <t:Comment id="663656971"/>
        </t:Anchor>
        <t:Create/>
      </t:Event>
      <t:Event id="{53314E7F-3F4B-4962-A748-365A30660D9D}" time="2023-11-27T11:56:22.41Z">
        <t:Attribution userId="S::sebastien.potel@unilasalle.fr::52a42400-49ed-4656-a668-ab607b5e9c63" userProvider="AD" userName="Sébastien POTEL"/>
        <t:Anchor>
          <t:Comment id="663656971"/>
        </t:Anchor>
        <t:Assign userId="S::Julien.JEAN-VICTOR@unilasalle.fr::b273bce9-6b36-4bfc-bf62-1324d3c3ef0f" userProvider="AD" userName="Julien JEAN-VICTOR"/>
      </t:Event>
      <t:Event id="{B2649EAC-D823-492D-86C2-DEA58674B6C7}" time="2023-11-27T11:56:22.41Z">
        <t:Attribution userId="S::sebastien.potel@unilasalle.fr::52a42400-49ed-4656-a668-ab607b5e9c63" userProvider="AD" userName="Sébastien POTEL"/>
        <t:Anchor>
          <t:Comment id="663656971"/>
        </t:Anchor>
        <t:SetTitle title="@Julien JEAN-VICTOR Le France est pour Oise ? Si oui, à mettre entre parenthèse, sinon, à inverser l'ord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0B48A206488E44B056E1D77507F61D" ma:contentTypeVersion="11" ma:contentTypeDescription="Crée un document." ma:contentTypeScope="" ma:versionID="f7899f6baaf6a92c06f8147248a18837">
  <xsd:schema xmlns:xsd="http://www.w3.org/2001/XMLSchema" xmlns:xs="http://www.w3.org/2001/XMLSchema" xmlns:p="http://schemas.microsoft.com/office/2006/metadata/properties" xmlns:ns3="254726d5-9792-4e45-9445-968c31007be1" xmlns:ns4="216449dc-829b-4b3f-bced-e58932f71c24" targetNamespace="http://schemas.microsoft.com/office/2006/metadata/properties" ma:root="true" ma:fieldsID="2cba6311595d873bed81224b5117dc7f" ns3:_="" ns4:_="">
    <xsd:import namespace="254726d5-9792-4e45-9445-968c31007be1"/>
    <xsd:import namespace="216449dc-829b-4b3f-bced-e58932f71c2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726d5-9792-4e45-9445-968c31007be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449dc-829b-4b3f-bced-e58932f71c24" elementFormDefault="qualified">
    <xsd:import namespace="http://schemas.microsoft.com/office/2006/documentManagement/types"/>
    <xsd:import namespace="http://schemas.microsoft.com/office/infopath/2007/PartnerControls"/>
    <xsd:element name="SharedWithUsers" ma:index="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element name="SharingHintHash" ma:index="1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54726d5-9792-4e45-9445-968c31007be1" xsi:nil="true"/>
  </documentManagement>
</p:properties>
</file>

<file path=customXml/itemProps1.xml><?xml version="1.0" encoding="utf-8"?>
<ds:datastoreItem xmlns:ds="http://schemas.openxmlformats.org/officeDocument/2006/customXml" ds:itemID="{ED5215CF-E5A2-428D-B5D1-3FCF330DBADD}">
  <ds:schemaRefs>
    <ds:schemaRef ds:uri="http://schemas.openxmlformats.org/officeDocument/2006/bibliography"/>
  </ds:schemaRefs>
</ds:datastoreItem>
</file>

<file path=customXml/itemProps2.xml><?xml version="1.0" encoding="utf-8"?>
<ds:datastoreItem xmlns:ds="http://schemas.openxmlformats.org/officeDocument/2006/customXml" ds:itemID="{B583E774-7BA6-4320-BDC4-B69B3B415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726d5-9792-4e45-9445-968c31007be1"/>
    <ds:schemaRef ds:uri="216449dc-829b-4b3f-bced-e58932f7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37126-89C4-4C25-9BAB-6D557950EAD5}">
  <ds:schemaRefs>
    <ds:schemaRef ds:uri="http://schemas.microsoft.com/sharepoint/v3/contenttype/forms"/>
  </ds:schemaRefs>
</ds:datastoreItem>
</file>

<file path=customXml/itemProps4.xml><?xml version="1.0" encoding="utf-8"?>
<ds:datastoreItem xmlns:ds="http://schemas.openxmlformats.org/officeDocument/2006/customXml" ds:itemID="{AF7309B4-8C31-4CD2-BE1E-D6F35F192B5F}">
  <ds:schemaRefs>
    <ds:schemaRef ds:uri="http://schemas.microsoft.com/office/2006/metadata/properties"/>
    <ds:schemaRef ds:uri="http://schemas.microsoft.com/office/infopath/2007/PartnerControls"/>
    <ds:schemaRef ds:uri="254726d5-9792-4e45-9445-968c31007be1"/>
  </ds:schemaRefs>
</ds:datastoreItem>
</file>

<file path=docProps/app.xml><?xml version="1.0" encoding="utf-8"?>
<Properties xmlns="http://schemas.openxmlformats.org/officeDocument/2006/extended-properties" xmlns:vt="http://schemas.openxmlformats.org/officeDocument/2006/docPropsVTypes">
  <Template>Chapter</Template>
  <TotalTime>120</TotalTime>
  <Pages>6</Pages>
  <Words>5835</Words>
  <Characters>32094</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Chapter</vt:lpstr>
    </vt:vector>
  </TitlesOfParts>
  <Company>Elsevier Science</Company>
  <LinksUpToDate>false</LinksUpToDate>
  <CharactersWithSpaces>37854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Julien JV</cp:lastModifiedBy>
  <cp:revision>11</cp:revision>
  <cp:lastPrinted>2023-12-13T12:15:00Z</cp:lastPrinted>
  <dcterms:created xsi:type="dcterms:W3CDTF">2023-11-29T20:12:00Z</dcterms:created>
  <dcterms:modified xsi:type="dcterms:W3CDTF">2023-12-13T12:15:00Z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2">
    <vt:lpwstr>icJournalAbbreviations" value="true"/&gt;&lt;/prefs&gt;&lt;/data&gt;</vt:lpwstr>
  </property>
  <property fmtid="{D5CDD505-2E9C-101B-9397-08002B2CF9AE}" pid="11" name="ZOTERO_PREF_1">
    <vt:lpwstr>&lt;data data-version="3" zotero-version="6.0.30"&gt;&lt;session id="JUyLOhlE"/&gt;&lt;style id="http://www.zotero.org/styles/unilasalle" locale="en-US" hasBibliography="1" bibliographyStyleHasBeenSet="1"/&gt;&lt;prefs&gt;&lt;pref name="fieldType" value="Field"/&gt;&lt;pref name="automat</vt:lpwstr>
  </property>
  <property fmtid="{D5CDD505-2E9C-101B-9397-08002B2CF9AE}" pid="12" name="ContentTypeId">
    <vt:lpwstr>0x010100090B48A206488E44B056E1D77507F61D</vt:lpwstr>
  </property>
</Properties>
</file>